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2F4E90">
        <w:trPr>
          <w:trHeight w:val="553"/>
        </w:trPr>
        <w:tc>
          <w:tcPr>
            <w:tcW w:w="8937" w:type="dxa"/>
          </w:tcPr>
          <w:p w14:paraId="53ED64F7" w14:textId="424CD87E" w:rsidR="00A01280" w:rsidRPr="00451F5E" w:rsidRDefault="009F0D97" w:rsidP="00451F5E">
            <w:pPr>
              <w:spacing w:before="120" w:after="0"/>
              <w:rPr>
                <w:rFonts w:asciiTheme="minorHAnsi" w:hAnsiTheme="minorHAnsi" w:cs="Arial"/>
                <w:b/>
              </w:rPr>
            </w:pPr>
            <w:r w:rsidRPr="00451F5E">
              <w:rPr>
                <w:rFonts w:asciiTheme="minorHAnsi" w:hAnsiTheme="minorHAnsi" w:cs="Arial"/>
                <w:b/>
              </w:rPr>
              <w:t>Learning Governance: Community-Based Partnership for Capacity Building</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2F4E90">
        <w:trPr>
          <w:trHeight w:val="3849"/>
        </w:trPr>
        <w:tc>
          <w:tcPr>
            <w:tcW w:w="8931" w:type="dxa"/>
          </w:tcPr>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Pr="00BC2A20" w:rsidRDefault="00A01280" w:rsidP="00A01280">
            <w:pPr>
              <w:spacing w:after="0"/>
              <w:rPr>
                <w:rFonts w:ascii="Helvetica" w:hAnsi="Helvetica" w:cs="Arial"/>
              </w:rPr>
            </w:pPr>
          </w:p>
          <w:p w14:paraId="31F9A8AD" w14:textId="08524C13" w:rsidR="00BC2A20" w:rsidRPr="0004327D" w:rsidRDefault="002A24CA" w:rsidP="00F73D7D">
            <w:pPr>
              <w:spacing w:after="0" w:line="240" w:lineRule="auto"/>
              <w:rPr>
                <w:rFonts w:asciiTheme="minorHAnsi" w:hAnsiTheme="minorHAnsi" w:cs="Arial"/>
              </w:rPr>
            </w:pPr>
            <w:r w:rsidRPr="0004327D">
              <w:rPr>
                <w:rFonts w:asciiTheme="minorHAnsi" w:hAnsiTheme="minorHAnsi"/>
              </w:rPr>
              <w:t xml:space="preserve">This presentation will </w:t>
            </w:r>
            <w:r w:rsidR="00845E72" w:rsidRPr="0004327D">
              <w:rPr>
                <w:rFonts w:asciiTheme="minorHAnsi" w:hAnsiTheme="minorHAnsi"/>
              </w:rPr>
              <w:t>describe</w:t>
            </w:r>
            <w:r w:rsidRPr="0004327D">
              <w:rPr>
                <w:rFonts w:asciiTheme="minorHAnsi" w:hAnsiTheme="minorHAnsi"/>
              </w:rPr>
              <w:t xml:space="preserve"> the development of the </w:t>
            </w:r>
            <w:r w:rsidRPr="0004327D">
              <w:rPr>
                <w:rFonts w:asciiTheme="minorHAnsi" w:hAnsiTheme="minorHAnsi"/>
                <w:i/>
              </w:rPr>
              <w:t>Governance &amp; Leadership Development Practicum</w:t>
            </w:r>
            <w:r w:rsidRPr="0004327D">
              <w:rPr>
                <w:rFonts w:asciiTheme="minorHAnsi" w:hAnsiTheme="minorHAnsi"/>
              </w:rPr>
              <w:t xml:space="preserve">, a senior undergraduate course that substantiates community-based experiential learning and capacity building. The </w:t>
            </w:r>
            <w:r w:rsidR="00845E72" w:rsidRPr="0004327D">
              <w:rPr>
                <w:rFonts w:asciiTheme="minorHAnsi" w:hAnsiTheme="minorHAnsi"/>
              </w:rPr>
              <w:t xml:space="preserve">goal of the </w:t>
            </w:r>
            <w:r w:rsidRPr="0004327D">
              <w:rPr>
                <w:rFonts w:asciiTheme="minorHAnsi" w:hAnsiTheme="minorHAnsi"/>
              </w:rPr>
              <w:t>course</w:t>
            </w:r>
            <w:r w:rsidR="00845E72" w:rsidRPr="0004327D">
              <w:rPr>
                <w:rFonts w:asciiTheme="minorHAnsi" w:hAnsiTheme="minorHAnsi"/>
              </w:rPr>
              <w:t xml:space="preserve"> is </w:t>
            </w:r>
            <w:r w:rsidRPr="0004327D">
              <w:rPr>
                <w:rFonts w:asciiTheme="minorHAnsi" w:hAnsiTheme="minorHAnsi"/>
              </w:rPr>
              <w:t xml:space="preserve">to provide students with an exceptional learning opportunity, mentored </w:t>
            </w:r>
            <w:r w:rsidR="00D2549A">
              <w:rPr>
                <w:rFonts w:asciiTheme="minorHAnsi" w:hAnsiTheme="minorHAnsi"/>
              </w:rPr>
              <w:t xml:space="preserve">tacit knowledge </w:t>
            </w:r>
            <w:r w:rsidR="00F73D7D">
              <w:rPr>
                <w:rFonts w:asciiTheme="minorHAnsi" w:hAnsiTheme="minorHAnsi"/>
              </w:rPr>
              <w:t xml:space="preserve">transfer </w:t>
            </w:r>
            <w:r w:rsidR="00D2549A">
              <w:rPr>
                <w:rFonts w:asciiTheme="minorHAnsi" w:hAnsiTheme="minorHAnsi"/>
              </w:rPr>
              <w:t>about</w:t>
            </w:r>
            <w:r w:rsidRPr="0004327D">
              <w:rPr>
                <w:rFonts w:asciiTheme="minorHAnsi" w:hAnsiTheme="minorHAnsi"/>
              </w:rPr>
              <w:t xml:space="preserve"> organizational structur</w:t>
            </w:r>
            <w:bookmarkStart w:id="0" w:name="_GoBack"/>
            <w:bookmarkEnd w:id="0"/>
            <w:r w:rsidRPr="0004327D">
              <w:rPr>
                <w:rFonts w:asciiTheme="minorHAnsi" w:hAnsiTheme="minorHAnsi"/>
              </w:rPr>
              <w:t>es and leadership, and—equally important—to contribute t</w:t>
            </w:r>
            <w:r w:rsidR="00845E72" w:rsidRPr="0004327D">
              <w:rPr>
                <w:rFonts w:asciiTheme="minorHAnsi" w:hAnsiTheme="minorHAnsi"/>
              </w:rPr>
              <w:t xml:space="preserve">o leadership sustainability in the </w:t>
            </w:r>
            <w:r w:rsidRPr="0004327D">
              <w:rPr>
                <w:rFonts w:asciiTheme="minorHAnsi" w:hAnsiTheme="minorHAnsi"/>
              </w:rPr>
              <w:t>community. We provide</w:t>
            </w:r>
            <w:r w:rsidR="00845E72" w:rsidRPr="0004327D">
              <w:rPr>
                <w:rFonts w:asciiTheme="minorHAnsi" w:hAnsiTheme="minorHAnsi"/>
              </w:rPr>
              <w:t xml:space="preserve"> an account of the course </w:t>
            </w:r>
            <w:r w:rsidRPr="0004327D">
              <w:rPr>
                <w:rFonts w:asciiTheme="minorHAnsi" w:hAnsiTheme="minorHAnsi"/>
              </w:rPr>
              <w:t>design, development, and implementation</w:t>
            </w:r>
            <w:r w:rsidR="00845E72" w:rsidRPr="0004327D">
              <w:rPr>
                <w:rFonts w:asciiTheme="minorHAnsi" w:hAnsiTheme="minorHAnsi"/>
              </w:rPr>
              <w:t xml:space="preserve">, and </w:t>
            </w:r>
            <w:r w:rsidRPr="0004327D">
              <w:rPr>
                <w:rFonts w:asciiTheme="minorHAnsi" w:hAnsiTheme="minorHAnsi"/>
              </w:rPr>
              <w:t>the unique foundations of this process that were grounded in principles of partnership, collaboration, and stakeholder engagement</w:t>
            </w:r>
            <w:r w:rsidR="00845E72" w:rsidRPr="0004327D">
              <w:rPr>
                <w:rFonts w:asciiTheme="minorHAnsi" w:hAnsiTheme="minorHAnsi"/>
              </w:rPr>
              <w:t>.</w:t>
            </w:r>
            <w:r w:rsidRPr="0004327D">
              <w:rPr>
                <w:rFonts w:asciiTheme="minorHAnsi" w:hAnsiTheme="minorHAnsi"/>
              </w:rPr>
              <w:t xml:space="preserve"> Lastly, we offer </w:t>
            </w:r>
            <w:r w:rsidRPr="0004327D">
              <w:rPr>
                <w:rFonts w:asciiTheme="minorHAnsi" w:hAnsiTheme="minorHAnsi"/>
                <w:iCs/>
              </w:rPr>
              <w:t>considerations for development of similar courses (or course components)</w:t>
            </w:r>
            <w:r w:rsidR="00845E72" w:rsidRPr="0004327D">
              <w:rPr>
                <w:rFonts w:asciiTheme="minorHAnsi" w:hAnsiTheme="minorHAnsi"/>
                <w:iCs/>
              </w:rPr>
              <w:t>.</w:t>
            </w:r>
          </w:p>
        </w:tc>
      </w:tr>
    </w:tbl>
    <w:p w14:paraId="7FD04155" w14:textId="47A1E91F" w:rsidR="006F4822" w:rsidRDefault="006F4822" w:rsidP="00822EDA">
      <w:pPr>
        <w:spacing w:after="0"/>
        <w:rPr>
          <w:rFonts w:ascii="Helvetica" w:hAnsi="Helvetica" w:cs="Arial"/>
        </w:rPr>
      </w:pPr>
    </w:p>
    <w:p w14:paraId="7348B703" w14:textId="234DB0DC" w:rsidR="00822EDA" w:rsidRPr="00473772" w:rsidRDefault="00822EDA" w:rsidP="006F4822">
      <w:pPr>
        <w:spacing w:after="0" w:line="240" w:lineRule="auto"/>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8926" w:type="dxa"/>
        <w:tblLook w:val="04A0" w:firstRow="1" w:lastRow="0" w:firstColumn="1" w:lastColumn="0" w:noHBand="0" w:noVBand="1"/>
      </w:tblPr>
      <w:tblGrid>
        <w:gridCol w:w="8926"/>
      </w:tblGrid>
      <w:tr w:rsidR="00BC2A20" w14:paraId="3824AFF5" w14:textId="77777777" w:rsidTr="002F4E90">
        <w:tc>
          <w:tcPr>
            <w:tcW w:w="8926" w:type="dxa"/>
          </w:tcPr>
          <w:p w14:paraId="253F0639" w14:textId="5E8DEB7C" w:rsidR="00BC2A20" w:rsidRPr="002F4E90" w:rsidRDefault="00BC2A20" w:rsidP="00BC2A20">
            <w:pPr>
              <w:spacing w:after="0"/>
              <w:rPr>
                <w:rFonts w:ascii="Helvetica" w:hAnsi="Helvetica" w:cs="Arial"/>
                <w:i/>
              </w:rPr>
            </w:pPr>
            <w:r w:rsidRPr="002F4E90">
              <w:rPr>
                <w:rFonts w:ascii="Helvetica" w:hAnsi="Helvetica" w:cs="Arial"/>
                <w:i/>
              </w:rPr>
              <w:t>Use three or four keywords to describe your session.</w:t>
            </w:r>
          </w:p>
          <w:p w14:paraId="4E337F84" w14:textId="77777777" w:rsidR="007C7E55" w:rsidRPr="002F4E90" w:rsidRDefault="007C7E55" w:rsidP="00BC2A20">
            <w:pPr>
              <w:spacing w:after="0"/>
              <w:rPr>
                <w:rFonts w:ascii="Helvetica" w:hAnsi="Helvetica" w:cs="Arial"/>
              </w:rPr>
            </w:pPr>
          </w:p>
          <w:p w14:paraId="6830EDEE" w14:textId="7F5A320C" w:rsidR="00BC2A20" w:rsidRPr="002F4E90" w:rsidRDefault="007C7E55" w:rsidP="00BC2A20">
            <w:pPr>
              <w:spacing w:after="0"/>
              <w:rPr>
                <w:rFonts w:asciiTheme="minorHAnsi" w:hAnsiTheme="minorHAnsi" w:cs="Arial"/>
              </w:rPr>
            </w:pPr>
            <w:r w:rsidRPr="002F4E90">
              <w:rPr>
                <w:rFonts w:asciiTheme="minorHAnsi" w:hAnsiTheme="minorHAnsi" w:cs="Arial"/>
              </w:rPr>
              <w:t xml:space="preserve">Experiential learning; </w:t>
            </w:r>
            <w:r w:rsidR="009F0D97" w:rsidRPr="002F4E90">
              <w:rPr>
                <w:rFonts w:asciiTheme="minorHAnsi" w:hAnsiTheme="minorHAnsi" w:cs="Arial"/>
              </w:rPr>
              <w:t xml:space="preserve">Community engagement; </w:t>
            </w:r>
            <w:r w:rsidR="0000645A" w:rsidRPr="002F4E90">
              <w:rPr>
                <w:rFonts w:asciiTheme="minorHAnsi" w:hAnsiTheme="minorHAnsi" w:cs="Arial"/>
              </w:rPr>
              <w:t>Governance</w:t>
            </w:r>
            <w:r w:rsidR="00451F5E" w:rsidRPr="002F4E90">
              <w:rPr>
                <w:rFonts w:asciiTheme="minorHAnsi" w:hAnsiTheme="minorHAnsi" w:cs="Arial"/>
              </w:rPr>
              <w:t xml:space="preserve"> education</w:t>
            </w:r>
            <w:r w:rsidR="0000645A" w:rsidRPr="002F4E90">
              <w:rPr>
                <w:rFonts w:asciiTheme="minorHAnsi" w:hAnsiTheme="minorHAnsi" w:cs="Arial"/>
              </w:rPr>
              <w:t>; Student leadership development</w:t>
            </w:r>
          </w:p>
        </w:tc>
      </w:tr>
    </w:tbl>
    <w:p w14:paraId="6008BD2A" w14:textId="77777777" w:rsidR="00822EDA" w:rsidRDefault="00822EDA"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2726D901" w:rsidR="002F6D70" w:rsidRPr="00253F36" w:rsidRDefault="009F0D97" w:rsidP="002F6D70">
      <w:pPr>
        <w:spacing w:after="0"/>
        <w:ind w:left="360"/>
        <w:rPr>
          <w:rFonts w:ascii="Helvetica" w:hAnsi="Helvetica" w:cs="Arial"/>
        </w:rPr>
      </w:pPr>
      <w:r>
        <w:rPr>
          <w:rFonts w:ascii="Helvetica" w:hAnsi="Helvetica" w:cs="Arial"/>
          <w:u w:val="single"/>
        </w:rPr>
        <w:t>__</w:t>
      </w:r>
      <w:r w:rsidR="002F6D70" w:rsidRPr="00253F36">
        <w:rPr>
          <w:rFonts w:ascii="Helvetica" w:hAnsi="Helvetica" w:cs="Arial"/>
          <w:u w:val="single"/>
        </w:rPr>
        <w:t xml:space="preserve">  </w:t>
      </w:r>
      <w:r w:rsidR="002F6D70" w:rsidRPr="00253F36">
        <w:rPr>
          <w:rFonts w:ascii="Helvetica" w:hAnsi="Helvetica" w:cs="Arial"/>
        </w:rPr>
        <w:t xml:space="preserve"> </w:t>
      </w:r>
      <w:r>
        <w:rPr>
          <w:rFonts w:ascii="Helvetica" w:hAnsi="Helvetica" w:cs="Arial"/>
        </w:rPr>
        <w:t xml:space="preserve"> </w:t>
      </w:r>
      <w:r w:rsidR="002F6D70" w:rsidRPr="00253F36">
        <w:rPr>
          <w:rFonts w:ascii="Helvetica" w:hAnsi="Helvetica" w:cs="Arial"/>
        </w:rPr>
        <w:t>Activity or exercise</w:t>
      </w:r>
    </w:p>
    <w:p w14:paraId="3E960927" w14:textId="2B5B0BA2"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sidR="009F0D97">
        <w:rPr>
          <w:rFonts w:ascii="Helvetica" w:hAnsi="Helvetica" w:cs="Arial"/>
          <w:u w:val="single"/>
        </w:rPr>
        <w:t>_</w:t>
      </w:r>
      <w:r>
        <w:rPr>
          <w:rFonts w:ascii="Helvetica" w:hAnsi="Helvetica" w:cs="Arial"/>
        </w:rPr>
        <w:t xml:space="preserve"> </w:t>
      </w:r>
      <w:r w:rsidRPr="00473772">
        <w:rPr>
          <w:rFonts w:ascii="Helvetica" w:hAnsi="Helvetica" w:cs="Arial"/>
        </w:rPr>
        <w:t>Discussion roundtable (60 minute only)</w:t>
      </w:r>
    </w:p>
    <w:p w14:paraId="1CEA00D3" w14:textId="01DD8C46"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9F0D97">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w:t>
      </w:r>
      <w:r w:rsidR="00980F48">
        <w:rPr>
          <w:rFonts w:ascii="Helvetica" w:hAnsi="Helvetica" w:cs="Arial"/>
        </w:rPr>
        <w:t xml:space="preserve">General </w:t>
      </w:r>
      <w:r w:rsidRPr="00473772">
        <w:rPr>
          <w:rFonts w:ascii="Helvetica" w:hAnsi="Helvetica" w:cs="Arial"/>
        </w:rPr>
        <w:t>discussion session</w:t>
      </w:r>
    </w:p>
    <w:p w14:paraId="22DD7796" w14:textId="77777777" w:rsidR="002F6D70" w:rsidRDefault="002F6D70" w:rsidP="00D92A68">
      <w:pPr>
        <w:spacing w:after="0"/>
        <w:rPr>
          <w:rFonts w:ascii="Helvetica" w:hAnsi="Helvetica" w:cs="Arial"/>
        </w:rPr>
      </w:pPr>
    </w:p>
    <w:p w14:paraId="63318DCE" w14:textId="77777777" w:rsidR="008A372F" w:rsidRPr="00473772" w:rsidRDefault="008A372F"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65A05172" w:rsidR="00BC2A20" w:rsidRDefault="0019258E" w:rsidP="00BC2A20">
      <w:pPr>
        <w:spacing w:after="0"/>
        <w:ind w:left="360"/>
        <w:rPr>
          <w:rFonts w:ascii="Helvetica" w:hAnsi="Helvetica" w:cs="Arial"/>
        </w:rPr>
      </w:pPr>
      <w:r>
        <w:rPr>
          <w:rFonts w:ascii="Helvetica" w:hAnsi="Helvetica" w:cs="Arial"/>
          <w:u w:val="single"/>
        </w:rPr>
        <w:t>__</w:t>
      </w:r>
      <w:r w:rsidR="00BC2A20" w:rsidRPr="00BC2A20">
        <w:rPr>
          <w:rFonts w:ascii="Helvetica" w:hAnsi="Helvetica" w:cs="Arial"/>
          <w:u w:val="single"/>
        </w:rPr>
        <w:t xml:space="preserve">  </w:t>
      </w:r>
      <w:r w:rsidR="00BC2A20">
        <w:rPr>
          <w:rFonts w:ascii="Helvetica" w:hAnsi="Helvetica" w:cs="Arial"/>
        </w:rPr>
        <w:t xml:space="preserve"> 30 Minutes</w:t>
      </w:r>
    </w:p>
    <w:p w14:paraId="20FB2210" w14:textId="5D716472" w:rsidR="00BC2A20" w:rsidRDefault="008A372F" w:rsidP="00BC2A20">
      <w:pPr>
        <w:spacing w:after="0"/>
        <w:ind w:left="360"/>
        <w:rPr>
          <w:rFonts w:ascii="Helvetica" w:hAnsi="Helvetica" w:cs="Arial"/>
        </w:rPr>
      </w:pPr>
      <w:r>
        <w:rPr>
          <w:rFonts w:ascii="Helvetica" w:hAnsi="Helvetica" w:cs="Arial"/>
        </w:rPr>
        <w:t>_</w:t>
      </w:r>
      <w:r w:rsidR="0019258E">
        <w:rPr>
          <w:rFonts w:ascii="Helvetica" w:hAnsi="Helvetica" w:cs="Arial"/>
          <w:u w:val="single"/>
        </w:rPr>
        <w:t>X</w:t>
      </w:r>
      <w:r w:rsidR="00645E54" w:rsidRPr="006F4822">
        <w:rPr>
          <w:rFonts w:ascii="Helvetica" w:hAnsi="Helvetica" w:cs="Arial"/>
        </w:rPr>
        <w:t>_</w:t>
      </w:r>
      <w:r w:rsidR="009F0D97">
        <w:rPr>
          <w:rFonts w:ascii="Helvetica" w:hAnsi="Helvetica" w:cs="Arial"/>
        </w:rPr>
        <w:t xml:space="preserve"> </w:t>
      </w:r>
      <w:r w:rsidR="00BC2A20">
        <w:rPr>
          <w:rFonts w:ascii="Helvetica" w:hAnsi="Helvetica" w:cs="Arial"/>
        </w:rPr>
        <w:t>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22D27DED" w:rsidR="00BC2A20" w:rsidRDefault="009F0D97" w:rsidP="00BC2A20">
      <w:pPr>
        <w:spacing w:after="0"/>
        <w:ind w:left="360"/>
        <w:rPr>
          <w:rFonts w:ascii="Helvetica" w:hAnsi="Helvetica" w:cs="Arial"/>
        </w:rPr>
      </w:pPr>
      <w:r>
        <w:rPr>
          <w:rFonts w:ascii="Helvetica" w:hAnsi="Helvetica" w:cs="Arial"/>
          <w:u w:val="single"/>
        </w:rPr>
        <w:t xml:space="preserve">  _</w:t>
      </w:r>
      <w:r w:rsidR="00645E54">
        <w:rPr>
          <w:rFonts w:ascii="Helvetica" w:hAnsi="Helvetica" w:cs="Arial"/>
          <w:u w:val="single"/>
        </w:rPr>
        <w:t xml:space="preserve"> </w:t>
      </w:r>
      <w:r w:rsidR="008A372F">
        <w:rPr>
          <w:rFonts w:ascii="Helvetica" w:hAnsi="Helvetica" w:cs="Arial"/>
          <w:u w:val="single"/>
        </w:rPr>
        <w:t xml:space="preserve"> </w:t>
      </w:r>
      <w:r>
        <w:rPr>
          <w:rFonts w:ascii="Helvetica" w:hAnsi="Helvetica" w:cs="Arial"/>
        </w:rPr>
        <w:t xml:space="preserve"> </w:t>
      </w:r>
      <w:r w:rsidR="00BC2A20">
        <w:rPr>
          <w:rFonts w:ascii="Helvetica" w:hAnsi="Helvetica" w:cs="Arial"/>
        </w:rPr>
        <w:t>90 Minutes</w:t>
      </w: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52AC84E6" w14:textId="143C6E5E" w:rsidR="00253F36" w:rsidRPr="00451F5E" w:rsidRDefault="007C7E55" w:rsidP="0000645A">
            <w:pPr>
              <w:spacing w:after="0"/>
              <w:rPr>
                <w:rFonts w:asciiTheme="minorHAnsi" w:hAnsiTheme="minorHAnsi" w:cs="Arial"/>
              </w:rPr>
            </w:pPr>
            <w:r w:rsidRPr="00451F5E">
              <w:rPr>
                <w:rFonts w:asciiTheme="minorHAnsi" w:hAnsiTheme="minorHAnsi" w:cs="Arial"/>
              </w:rPr>
              <w:t>There are no special requirements for this session</w:t>
            </w:r>
            <w:r w:rsidR="0000645A" w:rsidRPr="00451F5E">
              <w:rPr>
                <w:rFonts w:asciiTheme="minorHAnsi" w:hAnsiTheme="minorHAnsi" w:cs="Arial"/>
              </w:rPr>
              <w:t>.</w:t>
            </w:r>
            <w:r w:rsidR="00EF3D08" w:rsidRPr="00451F5E">
              <w:rPr>
                <w:rFonts w:asciiTheme="minorHAnsi" w:hAnsiTheme="minorHAnsi" w:cs="Arial"/>
              </w:rPr>
              <w:t xml:space="preserve"> </w:t>
            </w:r>
            <w:r w:rsidR="0019258E" w:rsidRPr="00451F5E">
              <w:rPr>
                <w:rFonts w:asciiTheme="minorHAnsi" w:hAnsiTheme="minorHAnsi" w:cs="Arial"/>
              </w:rPr>
              <w:t xml:space="preserve">Although we selected ’60 minutes’ for our requested time, we could potentially abbreviate our session to fit a 30 minute timeslot if needed (thought this would unfortunately necessitate fewer ‘takeaways’ for attendees and probably less dialogue). </w:t>
            </w:r>
          </w:p>
        </w:tc>
      </w:tr>
    </w:tbl>
    <w:p w14:paraId="0A3E614E" w14:textId="77777777" w:rsidR="00253F36" w:rsidRDefault="00253F36" w:rsidP="00253F36">
      <w:pPr>
        <w:spacing w:after="0"/>
        <w:rPr>
          <w:rFonts w:ascii="Helvetica" w:hAnsi="Helvetica" w:cs="Arial"/>
        </w:rPr>
      </w:pPr>
    </w:p>
    <w:p w14:paraId="39DFC69C" w14:textId="54121D21"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4F70658" w14:textId="77777777" w:rsidTr="002F6D70">
        <w:tc>
          <w:tcPr>
            <w:tcW w:w="8856" w:type="dxa"/>
          </w:tcPr>
          <w:p w14:paraId="24040882" w14:textId="231E0A21"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792B3240" w14:textId="68D75046" w:rsidR="00EF3D08" w:rsidRPr="00451F5E" w:rsidRDefault="00EF3D08" w:rsidP="002A2074">
            <w:pPr>
              <w:spacing w:after="0"/>
              <w:rPr>
                <w:rFonts w:asciiTheme="minorHAnsi" w:hAnsiTheme="minorHAnsi" w:cs="Arial"/>
              </w:rPr>
            </w:pPr>
            <w:r>
              <w:rPr>
                <w:rFonts w:ascii="Helvetica" w:hAnsi="Helvetica" w:cs="Arial"/>
              </w:rPr>
              <w:br/>
            </w:r>
            <w:r w:rsidR="00713C97" w:rsidRPr="00451F5E">
              <w:rPr>
                <w:rFonts w:asciiTheme="minorHAnsi" w:hAnsiTheme="minorHAnsi" w:cs="Arial"/>
              </w:rPr>
              <w:t>Session participants will gain</w:t>
            </w:r>
            <w:r w:rsidRPr="00451F5E">
              <w:rPr>
                <w:rFonts w:asciiTheme="minorHAnsi" w:hAnsiTheme="minorHAnsi" w:cs="Arial"/>
              </w:rPr>
              <w:t xml:space="preserve">: </w:t>
            </w:r>
          </w:p>
          <w:p w14:paraId="49C733B3" w14:textId="46DC2DF1" w:rsidR="002A2074" w:rsidRPr="00451F5E" w:rsidRDefault="00EF3D08" w:rsidP="00EF3D08">
            <w:pPr>
              <w:pStyle w:val="ListParagraph"/>
              <w:numPr>
                <w:ilvl w:val="0"/>
                <w:numId w:val="4"/>
              </w:numPr>
              <w:spacing w:after="0"/>
              <w:rPr>
                <w:rFonts w:asciiTheme="minorHAnsi" w:hAnsiTheme="minorHAnsi" w:cs="Arial"/>
              </w:rPr>
            </w:pPr>
            <w:r w:rsidRPr="00451F5E">
              <w:rPr>
                <w:rFonts w:asciiTheme="minorHAnsi" w:hAnsiTheme="minorHAnsi" w:cs="Arial"/>
              </w:rPr>
              <w:t xml:space="preserve">An innovative, experiential </w:t>
            </w:r>
            <w:r w:rsidR="0000645A" w:rsidRPr="00451F5E">
              <w:rPr>
                <w:rFonts w:asciiTheme="minorHAnsi" w:hAnsiTheme="minorHAnsi" w:cs="Arial"/>
              </w:rPr>
              <w:t>course model</w:t>
            </w:r>
            <w:r w:rsidR="00713C97" w:rsidRPr="00451F5E">
              <w:rPr>
                <w:rFonts w:asciiTheme="minorHAnsi" w:hAnsiTheme="minorHAnsi" w:cs="Arial"/>
              </w:rPr>
              <w:t xml:space="preserve"> for their teaching ‘toolbox’</w:t>
            </w:r>
            <w:r w:rsidRPr="00451F5E">
              <w:rPr>
                <w:rFonts w:asciiTheme="minorHAnsi" w:hAnsiTheme="minorHAnsi" w:cs="Arial"/>
              </w:rPr>
              <w:t xml:space="preserve"> that can be translated into many contexts</w:t>
            </w:r>
            <w:r w:rsidR="00713C97" w:rsidRPr="00451F5E">
              <w:rPr>
                <w:rFonts w:asciiTheme="minorHAnsi" w:hAnsiTheme="minorHAnsi" w:cs="Arial"/>
              </w:rPr>
              <w:t>;</w:t>
            </w:r>
          </w:p>
          <w:p w14:paraId="7E2218E0" w14:textId="3DCE1209" w:rsidR="00BD6F83" w:rsidRPr="00451F5E" w:rsidRDefault="00BD6F83" w:rsidP="00BD6F83">
            <w:pPr>
              <w:pStyle w:val="ListParagraph"/>
              <w:numPr>
                <w:ilvl w:val="0"/>
                <w:numId w:val="4"/>
              </w:numPr>
              <w:spacing w:after="0"/>
              <w:rPr>
                <w:rFonts w:asciiTheme="minorHAnsi" w:hAnsiTheme="minorHAnsi" w:cs="Arial"/>
              </w:rPr>
            </w:pPr>
            <w:r w:rsidRPr="00451F5E">
              <w:rPr>
                <w:rFonts w:asciiTheme="minorHAnsi" w:hAnsiTheme="minorHAnsi" w:cs="Arial"/>
              </w:rPr>
              <w:t>Ideas/discussions about partnering with community boards and/or organizations</w:t>
            </w:r>
            <w:r w:rsidR="00713C97" w:rsidRPr="00451F5E">
              <w:rPr>
                <w:rFonts w:asciiTheme="minorHAnsi" w:hAnsiTheme="minorHAnsi" w:cs="Arial"/>
              </w:rPr>
              <w:t>;</w:t>
            </w:r>
          </w:p>
          <w:p w14:paraId="5CE4F14E" w14:textId="45908BB8" w:rsidR="00BD6F83" w:rsidRPr="00451F5E" w:rsidRDefault="00BD6F83" w:rsidP="00BD6F83">
            <w:pPr>
              <w:pStyle w:val="ListParagraph"/>
              <w:numPr>
                <w:ilvl w:val="0"/>
                <w:numId w:val="4"/>
              </w:numPr>
              <w:spacing w:after="0"/>
              <w:rPr>
                <w:rFonts w:asciiTheme="minorHAnsi" w:hAnsiTheme="minorHAnsi" w:cs="Arial"/>
              </w:rPr>
            </w:pPr>
            <w:r w:rsidRPr="00451F5E">
              <w:rPr>
                <w:rFonts w:asciiTheme="minorHAnsi" w:hAnsiTheme="minorHAnsi" w:cs="Arial"/>
              </w:rPr>
              <w:t>Ideas/discussions about incorporating community mentors into courses;</w:t>
            </w:r>
          </w:p>
          <w:p w14:paraId="5D47ABB8" w14:textId="53CD39ED" w:rsidR="00BD6F83" w:rsidRPr="00451F5E" w:rsidRDefault="004D7E34" w:rsidP="00BD6F83">
            <w:pPr>
              <w:pStyle w:val="ListParagraph"/>
              <w:numPr>
                <w:ilvl w:val="0"/>
                <w:numId w:val="4"/>
              </w:numPr>
              <w:spacing w:after="0"/>
              <w:rPr>
                <w:rFonts w:asciiTheme="minorHAnsi" w:hAnsiTheme="minorHAnsi" w:cs="Arial"/>
              </w:rPr>
            </w:pPr>
            <w:r w:rsidRPr="00451F5E">
              <w:rPr>
                <w:rFonts w:asciiTheme="minorHAnsi" w:hAnsiTheme="minorHAnsi" w:cs="Arial"/>
              </w:rPr>
              <w:t>Alternatives for</w:t>
            </w:r>
            <w:r w:rsidR="00BD6F83" w:rsidRPr="00451F5E">
              <w:rPr>
                <w:rFonts w:asciiTheme="minorHAnsi" w:hAnsiTheme="minorHAnsi" w:cs="Arial"/>
              </w:rPr>
              <w:t xml:space="preserve"> course calendar scheduling </w:t>
            </w:r>
            <w:r w:rsidRPr="00451F5E">
              <w:rPr>
                <w:rFonts w:asciiTheme="minorHAnsi" w:hAnsiTheme="minorHAnsi" w:cs="Arial"/>
              </w:rPr>
              <w:t>of</w:t>
            </w:r>
            <w:r w:rsidR="00BD6F83" w:rsidRPr="00451F5E">
              <w:rPr>
                <w:rFonts w:asciiTheme="minorHAnsi" w:hAnsiTheme="minorHAnsi" w:cs="Arial"/>
              </w:rPr>
              <w:t xml:space="preserve"> community-based courses;</w:t>
            </w:r>
          </w:p>
          <w:p w14:paraId="2596BEAF" w14:textId="219E2A47" w:rsidR="00BD6F83" w:rsidRPr="00451F5E" w:rsidRDefault="00BD6F83" w:rsidP="00BD6F83">
            <w:pPr>
              <w:pStyle w:val="ListParagraph"/>
              <w:numPr>
                <w:ilvl w:val="0"/>
                <w:numId w:val="4"/>
              </w:numPr>
              <w:spacing w:after="0"/>
              <w:rPr>
                <w:rFonts w:asciiTheme="minorHAnsi" w:hAnsiTheme="minorHAnsi" w:cs="Arial"/>
              </w:rPr>
            </w:pPr>
            <w:r w:rsidRPr="00451F5E">
              <w:rPr>
                <w:rFonts w:asciiTheme="minorHAnsi" w:hAnsiTheme="minorHAnsi" w:cs="Arial"/>
              </w:rPr>
              <w:t>Understanding of the benefits of an Advisory Board for community-based experiential learning</w:t>
            </w:r>
          </w:p>
          <w:p w14:paraId="63775B50" w14:textId="4E082073" w:rsidR="00EF3D08" w:rsidRPr="004D7E34" w:rsidRDefault="00EF3D08" w:rsidP="004D7E34">
            <w:pPr>
              <w:spacing w:after="0"/>
              <w:ind w:left="360"/>
              <w:rPr>
                <w:rFonts w:ascii="Helvetica" w:hAnsi="Helvetica" w:cs="Arial"/>
              </w:rPr>
            </w:pPr>
          </w:p>
        </w:tc>
      </w:tr>
    </w:tbl>
    <w:p w14:paraId="30A5E763" w14:textId="77777777" w:rsidR="008A372F" w:rsidRPr="006F4822" w:rsidRDefault="008A372F" w:rsidP="006F4822">
      <w:pPr>
        <w:rPr>
          <w:rFonts w:ascii="Helvetica" w:hAnsi="Helvetica" w:cs="Arial"/>
        </w:rPr>
      </w:pPr>
    </w:p>
    <w:p w14:paraId="08639B79" w14:textId="6FAE9FFE" w:rsidR="00253F36" w:rsidRPr="000F233E" w:rsidRDefault="00253F36" w:rsidP="000F233E">
      <w:pPr>
        <w:pStyle w:val="ListParagraph"/>
        <w:numPr>
          <w:ilvl w:val="0"/>
          <w:numId w:val="3"/>
        </w:numPr>
        <w:rPr>
          <w:rFonts w:ascii="Helvetica" w:hAnsi="Helvetica" w:cs="Helvetica"/>
          <w:b/>
          <w:sz w:val="28"/>
          <w:szCs w:val="28"/>
        </w:rPr>
      </w:pPr>
      <w:r w:rsidRPr="000F233E">
        <w:rPr>
          <w:rFonts w:ascii="Helvetica" w:hAnsi="Helvetica" w:cs="Helvetica"/>
          <w:b/>
          <w:sz w:val="28"/>
          <w:szCs w:val="28"/>
        </w:rPr>
        <w:t>Management or Teaching T</w:t>
      </w:r>
      <w:r w:rsidR="00E540A7" w:rsidRPr="000F233E">
        <w:rPr>
          <w:rFonts w:ascii="Helvetica" w:hAnsi="Helvetica" w:cs="Helvetica"/>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DDDA0A8" w14:textId="77777777" w:rsidTr="002F6D70">
        <w:tc>
          <w:tcPr>
            <w:tcW w:w="8856" w:type="dxa"/>
          </w:tcPr>
          <w:p w14:paraId="193CB548" w14:textId="01A9D644" w:rsidR="00253F36" w:rsidRPr="000F233E" w:rsidRDefault="00253F36" w:rsidP="00253F36">
            <w:pPr>
              <w:spacing w:after="0"/>
              <w:rPr>
                <w:rFonts w:ascii="Helvetica" w:hAnsi="Helvetica" w:cs="Arial"/>
                <w:i/>
                <w:color w:val="000000" w:themeColor="text1"/>
              </w:rPr>
            </w:pPr>
            <w:r w:rsidRPr="000F233E">
              <w:rPr>
                <w:rFonts w:ascii="Helvetica" w:hAnsi="Helvetica" w:cs="Arial"/>
                <w:i/>
                <w:color w:val="000000" w:themeColor="text1"/>
              </w:rPr>
              <w:t>Describe what management and/or teaching topics are relevant to your session, and why</w:t>
            </w:r>
            <w:r w:rsidR="007C7E55" w:rsidRPr="000F233E">
              <w:rPr>
                <w:rFonts w:ascii="Helvetica" w:hAnsi="Helvetica" w:cs="Arial"/>
                <w:i/>
                <w:color w:val="000000" w:themeColor="text1"/>
              </w:rPr>
              <w:t xml:space="preserve">. </w:t>
            </w:r>
            <w:r w:rsidR="002A2074" w:rsidRPr="000F233E">
              <w:rPr>
                <w:rFonts w:ascii="Helvetica" w:hAnsi="Helvetica" w:cs="Arial"/>
                <w:i/>
                <w:color w:val="000000" w:themeColor="text1"/>
              </w:rPr>
              <w:t>Please include</w:t>
            </w:r>
            <w:r w:rsidRPr="000F233E">
              <w:rPr>
                <w:rFonts w:ascii="Helvetica" w:hAnsi="Helvetica" w:cs="Arial"/>
                <w:i/>
                <w:color w:val="000000" w:themeColor="text1"/>
              </w:rPr>
              <w:t xml:space="preserve"> theoretical, disciplinary, or theoretical foundations that will help reviewers understand how your ideas fit within the broader field of management</w:t>
            </w:r>
            <w:r w:rsidR="00044BC5" w:rsidRPr="000F233E">
              <w:rPr>
                <w:rFonts w:ascii="Helvetica" w:hAnsi="Helvetica" w:cs="Arial"/>
                <w:i/>
                <w:color w:val="000000" w:themeColor="text1"/>
              </w:rPr>
              <w:t>.</w:t>
            </w:r>
          </w:p>
          <w:p w14:paraId="4903551C" w14:textId="77777777" w:rsidR="00253F36" w:rsidRPr="00E24095" w:rsidRDefault="00253F36" w:rsidP="00253F36">
            <w:pPr>
              <w:spacing w:after="0"/>
              <w:rPr>
                <w:rFonts w:ascii="Helvetica" w:hAnsi="Helvetica" w:cs="Helvetica"/>
              </w:rPr>
            </w:pPr>
          </w:p>
          <w:p w14:paraId="2E515800" w14:textId="77777777" w:rsidR="00253F36" w:rsidRPr="00451F5E" w:rsidRDefault="004D7E34" w:rsidP="004D7E34">
            <w:pPr>
              <w:spacing w:after="0"/>
              <w:rPr>
                <w:rFonts w:asciiTheme="minorHAnsi" w:hAnsiTheme="minorHAnsi" w:cs="Arial"/>
              </w:rPr>
            </w:pPr>
            <w:r w:rsidRPr="00451F5E">
              <w:rPr>
                <w:rFonts w:asciiTheme="minorHAnsi" w:hAnsiTheme="minorHAnsi" w:cs="Arial"/>
              </w:rPr>
              <w:t>There are three main topics within research and practice that are most germane to this presentation: At the broadest level, it speaks to community-university partnerships and experiential learning, and because of the specific context it also highlights leadership and governance education.</w:t>
            </w:r>
          </w:p>
          <w:p w14:paraId="6B8D8F25" w14:textId="77777777" w:rsidR="004D7E34" w:rsidRPr="00451F5E" w:rsidRDefault="004D7E34" w:rsidP="004D7E34">
            <w:pPr>
              <w:spacing w:after="0"/>
              <w:rPr>
                <w:rFonts w:asciiTheme="minorHAnsi" w:hAnsiTheme="minorHAnsi" w:cs="Arial"/>
              </w:rPr>
            </w:pPr>
          </w:p>
          <w:p w14:paraId="68831F4F" w14:textId="1CCD58FC" w:rsidR="004D7E34" w:rsidRPr="00F621D2" w:rsidRDefault="00DE601C" w:rsidP="00925ABB">
            <w:pPr>
              <w:spacing w:after="0"/>
              <w:rPr>
                <w:rFonts w:asciiTheme="minorHAnsi" w:hAnsiTheme="minorHAnsi"/>
                <w:iCs/>
              </w:rPr>
            </w:pPr>
            <w:r w:rsidRPr="00DE601C">
              <w:rPr>
                <w:rFonts w:asciiTheme="minorHAnsi" w:hAnsiTheme="minorHAnsi"/>
                <w:iCs/>
              </w:rPr>
              <w:t>Organizations are governed by boards of directors whose purpose is to maximize resources, achieve goals, and ensure accountability (Viader &amp; Espina, 2014). Boards play a critical role in the operation and viability of organizations by fulfilling two major responsibilities: “providing oversight, advice, and counsel…[and] monitoring” (Finkelstein &amp; Mooney, 2003, p. 101).</w:t>
            </w:r>
            <w:r>
              <w:rPr>
                <w:rFonts w:asciiTheme="minorHAnsi" w:hAnsiTheme="minorHAnsi"/>
                <w:iCs/>
              </w:rPr>
              <w:t xml:space="preserve"> Board g</w:t>
            </w:r>
            <w:r w:rsidR="00925ABB" w:rsidRPr="00DE601C">
              <w:rPr>
                <w:rFonts w:asciiTheme="minorHAnsi" w:hAnsiTheme="minorHAnsi"/>
                <w:iCs/>
              </w:rPr>
              <w:t xml:space="preserve">overnance is </w:t>
            </w:r>
            <w:r>
              <w:rPr>
                <w:rFonts w:asciiTheme="minorHAnsi" w:hAnsiTheme="minorHAnsi"/>
                <w:iCs/>
              </w:rPr>
              <w:t xml:space="preserve">therefore </w:t>
            </w:r>
            <w:r w:rsidR="00925ABB" w:rsidRPr="00DE601C">
              <w:rPr>
                <w:rFonts w:asciiTheme="minorHAnsi" w:hAnsiTheme="minorHAnsi"/>
                <w:iCs/>
              </w:rPr>
              <w:t xml:space="preserve">essential knowledge for individuals in nearly all organizational contexts, regardless of whether those organizations are considered for-profit or non-profit, and regardless of industry or sector. An understanding of the principles of governance is particularly relevant for graduates of </w:t>
            </w:r>
            <w:r w:rsidR="00925ABB" w:rsidRPr="00DE601C">
              <w:rPr>
                <w:rFonts w:asciiTheme="minorHAnsi" w:hAnsiTheme="minorHAnsi"/>
                <w:iCs/>
              </w:rPr>
              <w:lastRenderedPageBreak/>
              <w:t>business and management education programs. In spite of this, governance is not commonly included in the formal curriculum of many business schools. Where governance training is available, another challenge exists: many business school students have little to no ‘real world’ experience with governance and therefore have little upon which to anchor any theoretical or conceptual knowledge they might gain from classroom-based learning.</w:t>
            </w:r>
            <w:r w:rsidR="00925ABB" w:rsidRPr="00451F5E">
              <w:rPr>
                <w:rFonts w:asciiTheme="minorHAnsi" w:hAnsiTheme="minorHAnsi"/>
                <w:iCs/>
              </w:rPr>
              <w:t xml:space="preserve"> </w:t>
            </w:r>
            <w:r w:rsidRPr="00F621D2">
              <w:rPr>
                <w:rFonts w:asciiTheme="minorHAnsi" w:hAnsiTheme="minorHAnsi"/>
                <w:iCs/>
              </w:rPr>
              <w:t>Moreover, given the nature of board governance and organizational leadership, it is arguably difficult to truly understand “how it works” in practice without experiencing it in practice</w:t>
            </w:r>
            <w:r w:rsidR="00F621D2" w:rsidRPr="00F621D2">
              <w:rPr>
                <w:rFonts w:asciiTheme="minorHAnsi" w:hAnsiTheme="minorHAnsi"/>
                <w:iCs/>
              </w:rPr>
              <w:t xml:space="preserve">. Approaches that socialize learners through the exchange of </w:t>
            </w:r>
            <w:r w:rsidRPr="00F621D2">
              <w:rPr>
                <w:rFonts w:asciiTheme="minorHAnsi" w:hAnsiTheme="minorHAnsi"/>
                <w:iCs/>
              </w:rPr>
              <w:t>‘</w:t>
            </w:r>
            <w:r w:rsidR="00983CD6" w:rsidRPr="00F621D2">
              <w:rPr>
                <w:rFonts w:asciiTheme="minorHAnsi" w:hAnsiTheme="minorHAnsi"/>
                <w:iCs/>
              </w:rPr>
              <w:t>tacit knowledge’</w:t>
            </w:r>
            <w:r w:rsidR="00F621D2" w:rsidRPr="00F621D2">
              <w:rPr>
                <w:rFonts w:asciiTheme="minorHAnsi" w:hAnsiTheme="minorHAnsi"/>
                <w:iCs/>
              </w:rPr>
              <w:t>—a process of “</w:t>
            </w:r>
            <w:r w:rsidR="00F621D2" w:rsidRPr="00F621D2">
              <w:rPr>
                <w:rFonts w:asciiTheme="minorHAnsi" w:hAnsiTheme="minorHAnsi"/>
              </w:rPr>
              <w:t>observation, imitation, and practice</w:t>
            </w:r>
            <w:r w:rsidR="00B871A7">
              <w:rPr>
                <w:rFonts w:asciiTheme="minorHAnsi" w:hAnsiTheme="minorHAnsi"/>
              </w:rPr>
              <w:t>” (Nonaka, 1998</w:t>
            </w:r>
            <w:r w:rsidR="00F621D2" w:rsidRPr="00F621D2">
              <w:rPr>
                <w:rFonts w:asciiTheme="minorHAnsi" w:hAnsiTheme="minorHAnsi"/>
              </w:rPr>
              <w:t>) are required.</w:t>
            </w:r>
          </w:p>
          <w:p w14:paraId="09550C58" w14:textId="77777777" w:rsidR="00925ABB" w:rsidRPr="00F621D2" w:rsidRDefault="00925ABB" w:rsidP="00925ABB">
            <w:pPr>
              <w:spacing w:after="0"/>
              <w:rPr>
                <w:rFonts w:asciiTheme="minorHAnsi" w:hAnsiTheme="minorHAnsi"/>
                <w:iCs/>
              </w:rPr>
            </w:pPr>
          </w:p>
          <w:p w14:paraId="2676B6BB" w14:textId="224291CF" w:rsidR="00925ABB" w:rsidRPr="00451F5E" w:rsidRDefault="00925ABB" w:rsidP="00535B0A">
            <w:pPr>
              <w:spacing w:after="0"/>
              <w:rPr>
                <w:rFonts w:asciiTheme="minorHAnsi" w:hAnsiTheme="minorHAnsi"/>
                <w:iCs/>
              </w:rPr>
            </w:pPr>
            <w:r w:rsidRPr="00451F5E">
              <w:rPr>
                <w:rFonts w:asciiTheme="minorHAnsi" w:hAnsiTheme="minorHAnsi"/>
                <w:iCs/>
              </w:rPr>
              <w:t xml:space="preserve">Community-based experiential learning can create opportunities for </w:t>
            </w:r>
            <w:r w:rsidR="00F621D2">
              <w:rPr>
                <w:rFonts w:asciiTheme="minorHAnsi" w:hAnsiTheme="minorHAnsi"/>
                <w:iCs/>
              </w:rPr>
              <w:t xml:space="preserve">acquiring tacit knowledge through </w:t>
            </w:r>
            <w:r w:rsidRPr="00451F5E">
              <w:rPr>
                <w:rFonts w:asciiTheme="minorHAnsi" w:hAnsiTheme="minorHAnsi"/>
                <w:iCs/>
              </w:rPr>
              <w:t xml:space="preserve">exposure to governance and leadership in action, and opportunities for students to apply what they are learning in the classroom in real time. Numerous articles in the scholarly literature have cited the benefits to students of community-based experiential learning, such as personal and community learning outcomes (Bartel et al., 2001), </w:t>
            </w:r>
            <w:r w:rsidRPr="00451F5E">
              <w:rPr>
                <w:rFonts w:asciiTheme="minorHAnsi" w:hAnsiTheme="minorHAnsi"/>
              </w:rPr>
              <w:t>skill</w:t>
            </w:r>
            <w:r w:rsidR="00535B0A" w:rsidRPr="00451F5E">
              <w:rPr>
                <w:rFonts w:asciiTheme="minorHAnsi" w:hAnsiTheme="minorHAnsi"/>
              </w:rPr>
              <w:t xml:space="preserve"> development</w:t>
            </w:r>
            <w:r w:rsidRPr="00451F5E">
              <w:rPr>
                <w:rFonts w:asciiTheme="minorHAnsi" w:hAnsiTheme="minorHAnsi"/>
              </w:rPr>
              <w:t xml:space="preserve"> (Madsen &amp; Turnbull, 2006), and tolerance for diversity (Dumas, 2002). Students also acquire hands-on experience (e.g., McLaughlin, 2010), and </w:t>
            </w:r>
            <w:r w:rsidR="00535B0A" w:rsidRPr="00451F5E">
              <w:rPr>
                <w:rFonts w:asciiTheme="minorHAnsi" w:hAnsiTheme="minorHAnsi"/>
              </w:rPr>
              <w:t xml:space="preserve">enhance their </w:t>
            </w:r>
            <w:r w:rsidRPr="00451F5E">
              <w:rPr>
                <w:rFonts w:asciiTheme="minorHAnsi" w:hAnsiTheme="minorHAnsi"/>
              </w:rPr>
              <w:t xml:space="preserve">ability to translate theory into practice (McClam et al., 2008). </w:t>
            </w:r>
            <w:r w:rsidRPr="00451F5E">
              <w:rPr>
                <w:rFonts w:asciiTheme="minorHAnsi" w:hAnsiTheme="minorHAnsi"/>
                <w:iCs/>
              </w:rPr>
              <w:t>Community-based experiential courses may be particularly beneficial for students in business and management education programs, in light of calls for business schools to devote greater attention to social issues</w:t>
            </w:r>
            <w:r w:rsidR="009814D7" w:rsidRPr="00451F5E">
              <w:rPr>
                <w:rFonts w:asciiTheme="minorHAnsi" w:hAnsiTheme="minorHAnsi"/>
                <w:iCs/>
              </w:rPr>
              <w:t xml:space="preserve"> and community engagement (Dumas, 2002</w:t>
            </w:r>
            <w:r w:rsidRPr="00451F5E">
              <w:rPr>
                <w:rFonts w:asciiTheme="minorHAnsi" w:hAnsiTheme="minorHAnsi"/>
                <w:iCs/>
              </w:rPr>
              <w:t>).</w:t>
            </w:r>
          </w:p>
          <w:p w14:paraId="334CF1EF" w14:textId="77777777" w:rsidR="00535B0A" w:rsidRPr="00451F5E" w:rsidRDefault="00535B0A" w:rsidP="00535B0A">
            <w:pPr>
              <w:spacing w:after="0"/>
              <w:rPr>
                <w:rFonts w:asciiTheme="minorHAnsi" w:hAnsiTheme="minorHAnsi"/>
                <w:iCs/>
              </w:rPr>
            </w:pPr>
          </w:p>
          <w:p w14:paraId="13311ACB" w14:textId="5E21FA35" w:rsidR="00535B0A" w:rsidRPr="00253F36" w:rsidRDefault="00535B0A" w:rsidP="00535B0A">
            <w:pPr>
              <w:spacing w:after="0"/>
              <w:rPr>
                <w:rFonts w:ascii="Helvetica" w:hAnsi="Helvetica" w:cs="Arial"/>
              </w:rPr>
            </w:pPr>
            <w:r w:rsidRPr="00451F5E">
              <w:rPr>
                <w:rFonts w:asciiTheme="minorHAnsi" w:hAnsiTheme="minorHAnsi"/>
                <w:iCs/>
              </w:rPr>
              <w:t>There can be inherent challenges, however, in creating a platform for community-based experiential learning that (a) takes each party’s needs into account in design and implementation, (b) ensures mutually beneficial outcomes, such as high-level learning and application for students and a meaningful contribution to community organizations, and (c) is feasible and sustainable. The impetus for the Governance &amp; Leadership Development Practicum was partly founded upon these elements, in addition to targeting theory and practice of governance and leadership as specific ways to build capacity for both community and students.</w:t>
            </w:r>
          </w:p>
        </w:tc>
      </w:tr>
    </w:tbl>
    <w:p w14:paraId="27B1C55F" w14:textId="77777777" w:rsidR="00E540A7" w:rsidRPr="00473772" w:rsidRDefault="00E540A7"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EF1C33B" w14:textId="77777777" w:rsidTr="002F6D70">
        <w:tc>
          <w:tcPr>
            <w:tcW w:w="8856" w:type="dxa"/>
          </w:tcPr>
          <w:p w14:paraId="02F18128" w14:textId="0EE58FAD" w:rsidR="00C57A40" w:rsidRPr="001B673C" w:rsidRDefault="00253F36" w:rsidP="00253F36">
            <w:pPr>
              <w:spacing w:after="0"/>
              <w:rPr>
                <w:rFonts w:ascii="Helvetica" w:hAnsi="Helvetica" w:cs="Arial"/>
                <w:i/>
              </w:rPr>
            </w:pPr>
            <w:r w:rsidRPr="001B673C">
              <w:rPr>
                <w:rFonts w:ascii="Helvetica" w:hAnsi="Helvetica" w:cs="Arial"/>
                <w:i/>
              </w:rPr>
              <w:t>What will you actually do in this session?</w:t>
            </w:r>
            <w:r w:rsidR="002A2074" w:rsidRPr="001B673C">
              <w:rPr>
                <w:rFonts w:ascii="Helvetica" w:hAnsi="Helvetica" w:cs="Arial"/>
                <w:i/>
              </w:rPr>
              <w:t xml:space="preserve"> What activities will you facilitate, how long will they take, and how will participa</w:t>
            </w:r>
            <w:r w:rsidR="001A14A8" w:rsidRPr="001B673C">
              <w:rPr>
                <w:rFonts w:ascii="Helvetica" w:hAnsi="Helvetica" w:cs="Arial"/>
                <w:i/>
              </w:rPr>
              <w:t>nts</w:t>
            </w:r>
            <w:r w:rsidR="002A2074" w:rsidRPr="001B673C">
              <w:rPr>
                <w:rFonts w:ascii="Helvetica" w:hAnsi="Helvetica" w:cs="Arial"/>
                <w:i/>
              </w:rPr>
              <w:t xml:space="preserve"> be involved?</w:t>
            </w:r>
            <w:r w:rsidRPr="001B673C">
              <w:rPr>
                <w:rFonts w:ascii="Helvetica" w:hAnsi="Helvetica" w:cs="Arial"/>
                <w:i/>
              </w:rPr>
              <w:t xml:space="preserve"> </w:t>
            </w:r>
          </w:p>
          <w:p w14:paraId="5D89FF12" w14:textId="77777777" w:rsidR="00C57A40" w:rsidRDefault="00C57A40" w:rsidP="00253F36">
            <w:pPr>
              <w:spacing w:after="0"/>
              <w:rPr>
                <w:rFonts w:ascii="Helvetica" w:hAnsi="Helvetica" w:cs="Arial"/>
              </w:rPr>
            </w:pPr>
          </w:p>
          <w:p w14:paraId="2B2253B3" w14:textId="1175AEB9" w:rsidR="00253F36" w:rsidRPr="00451F5E" w:rsidRDefault="0019258E" w:rsidP="00253F36">
            <w:pPr>
              <w:spacing w:after="0"/>
              <w:rPr>
                <w:rFonts w:ascii="Cambria" w:hAnsi="Cambria" w:cs="Arial"/>
              </w:rPr>
            </w:pPr>
            <w:r w:rsidRPr="00451F5E">
              <w:rPr>
                <w:rFonts w:ascii="Cambria" w:hAnsi="Cambria" w:cs="Arial"/>
              </w:rPr>
              <w:t xml:space="preserve">This session will be comprised of a presentation and dialogue with attendees. </w:t>
            </w:r>
            <w:r w:rsidR="003D0448" w:rsidRPr="00451F5E">
              <w:rPr>
                <w:rFonts w:ascii="Cambria" w:hAnsi="Cambria" w:cs="Arial"/>
              </w:rPr>
              <w:t xml:space="preserve">Although we will share our experiences and reflections, we place a high value on including the expertise and perspectives that session participants will bring. Thus, we will pose several discussion questions throughout out presentation, invite participants to contribute their own ideas, and encourage an open dialogue among everyone present. </w:t>
            </w:r>
          </w:p>
        </w:tc>
      </w:tr>
    </w:tbl>
    <w:p w14:paraId="2C7506CB" w14:textId="567C1C56" w:rsidR="00D54455" w:rsidRDefault="00D54455" w:rsidP="004C55D4">
      <w:pPr>
        <w:spacing w:after="0"/>
        <w:rPr>
          <w:rFonts w:ascii="Helvetica" w:hAnsi="Helvetica" w:cs="Arial"/>
        </w:rPr>
      </w:pPr>
    </w:p>
    <w:p w14:paraId="48EF0C87" w14:textId="77777777" w:rsidR="00C8081A" w:rsidRPr="00473772" w:rsidRDefault="00C8081A"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lastRenderedPageBreak/>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14B37ED4" w14:textId="34468C00" w:rsidR="00980F48" w:rsidRPr="00451F5E" w:rsidRDefault="00980F48" w:rsidP="00253F36">
            <w:pPr>
              <w:spacing w:after="0"/>
              <w:rPr>
                <w:rFonts w:ascii="Cambria" w:hAnsi="Cambria" w:cs="Arial"/>
              </w:rPr>
            </w:pPr>
            <w:r w:rsidRPr="00451F5E">
              <w:rPr>
                <w:rFonts w:ascii="Cambria" w:hAnsi="Cambria" w:cs="Arial"/>
              </w:rPr>
              <w:t>No materials will be needed.</w:t>
            </w:r>
          </w:p>
          <w:p w14:paraId="55A01855" w14:textId="3A7031DF" w:rsidR="00253F36" w:rsidRPr="00253F36" w:rsidRDefault="00253F36" w:rsidP="00253F36">
            <w:pPr>
              <w:spacing w:after="0"/>
              <w:rPr>
                <w:rFonts w:ascii="Helvetica" w:hAnsi="Helvetica" w:cs="Arial"/>
              </w:rPr>
            </w:pPr>
          </w:p>
        </w:tc>
      </w:tr>
    </w:tbl>
    <w:p w14:paraId="0039F443" w14:textId="77777777" w:rsidR="00253F36" w:rsidRDefault="00253F36" w:rsidP="00253F36">
      <w:pPr>
        <w:spacing w:after="0"/>
        <w:rPr>
          <w:rFonts w:ascii="Helvetica" w:hAnsi="Helvetica" w:cs="Arial"/>
        </w:rPr>
      </w:pP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03C028F5" w14:textId="77777777" w:rsidTr="00980F48">
        <w:tc>
          <w:tcPr>
            <w:tcW w:w="8640" w:type="dxa"/>
          </w:tcPr>
          <w:p w14:paraId="0DFFA013" w14:textId="483B358C"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6118DB47" w14:textId="77777777" w:rsidR="00D319E3" w:rsidRPr="00451F5E" w:rsidRDefault="00D319E3" w:rsidP="00572854">
            <w:pPr>
              <w:spacing w:after="0"/>
              <w:rPr>
                <w:rFonts w:ascii="Cambria" w:hAnsi="Cambria" w:cs="Arial"/>
              </w:rPr>
            </w:pPr>
          </w:p>
          <w:p w14:paraId="79398D95" w14:textId="564E9C6F" w:rsidR="006571BD" w:rsidRPr="00451F5E" w:rsidRDefault="00F621D2" w:rsidP="00572854">
            <w:pPr>
              <w:spacing w:after="0"/>
              <w:rPr>
                <w:rFonts w:ascii="Cambria" w:hAnsi="Cambria" w:cs="Arial"/>
              </w:rPr>
            </w:pPr>
            <w:r>
              <w:rPr>
                <w:rFonts w:ascii="Cambria" w:hAnsi="Cambria"/>
                <w:iCs/>
              </w:rPr>
              <w:t>This session will provide instructors with a road map for transfer</w:t>
            </w:r>
            <w:r w:rsidR="00B871A7">
              <w:rPr>
                <w:rFonts w:ascii="Cambria" w:hAnsi="Cambria"/>
                <w:iCs/>
              </w:rPr>
              <w:t>r</w:t>
            </w:r>
            <w:r>
              <w:rPr>
                <w:rFonts w:ascii="Cambria" w:hAnsi="Cambria"/>
                <w:iCs/>
              </w:rPr>
              <w:t xml:space="preserve">ing tacit knowledge about complex and multi-faceted organizational processes, like governance and leadership, that students often only acquire later in their careers through vocational experience.  </w:t>
            </w:r>
            <w:r w:rsidR="00474A0D" w:rsidRPr="00F621D2">
              <w:rPr>
                <w:rFonts w:ascii="Cambria" w:hAnsi="Cambria"/>
                <w:iCs/>
              </w:rPr>
              <w:t>Faculty members or instructors can use the information presented in this session to inform or inspire the development of courses focused on governance and/or leadership development, as well as community-based experiential courses on any number of topics. Administrators and curriculum development specialists may also be interested in this presentation, because our case can serve as a basis for adopting a stakeholder engagement approach to course or program development, designing community-based experiential learning opportunities, and informing institutional policy and governance practices regarding curriculum development. Although our work can contribute in particular to research and practice in business and management education, the contributions are not restricted to this context; rather, the course development process and stakeholder engagement principles described in our case could be leveraged in many other disciplines.</w:t>
            </w:r>
          </w:p>
          <w:p w14:paraId="12CCB1C5" w14:textId="77777777" w:rsidR="006571BD" w:rsidRPr="00451F5E" w:rsidRDefault="006571BD" w:rsidP="00572854">
            <w:pPr>
              <w:spacing w:after="0"/>
              <w:rPr>
                <w:rFonts w:ascii="Cambria" w:hAnsi="Cambria" w:cs="Arial"/>
              </w:rPr>
            </w:pPr>
          </w:p>
          <w:p w14:paraId="32769C99" w14:textId="66CC9AF6" w:rsidR="00980F48" w:rsidRPr="00451F5E" w:rsidRDefault="00474A0D" w:rsidP="00572854">
            <w:pPr>
              <w:spacing w:after="0"/>
              <w:rPr>
                <w:rFonts w:ascii="Cambria" w:hAnsi="Cambria" w:cs="Arial"/>
                <w:color w:val="FF0000"/>
              </w:rPr>
            </w:pPr>
            <w:r w:rsidRPr="00451F5E">
              <w:rPr>
                <w:rFonts w:ascii="Cambria" w:hAnsi="Cambria" w:cs="Arial"/>
              </w:rPr>
              <w:t xml:space="preserve">As alluded to in prior sections of this proposal, we also </w:t>
            </w:r>
            <w:r w:rsidR="006571BD" w:rsidRPr="00451F5E">
              <w:rPr>
                <w:rFonts w:ascii="Cambria" w:hAnsi="Cambria" w:cs="Arial"/>
              </w:rPr>
              <w:t xml:space="preserve">anticipate that additional insights will arise from attendees’ own experiences and expertise, so session participants will learn from each other and build on everyone’s </w:t>
            </w:r>
            <w:r w:rsidRPr="00451F5E">
              <w:rPr>
                <w:rFonts w:ascii="Cambria" w:hAnsi="Cambria" w:cs="Arial"/>
              </w:rPr>
              <w:t>perspective</w:t>
            </w:r>
            <w:r w:rsidR="006571BD" w:rsidRPr="00451F5E">
              <w:rPr>
                <w:rFonts w:ascii="Cambria" w:hAnsi="Cambria" w:cs="Arial"/>
              </w:rPr>
              <w:t>s and input.</w:t>
            </w:r>
          </w:p>
          <w:p w14:paraId="6055AC17" w14:textId="77777777" w:rsidR="001A14A8" w:rsidRDefault="001A14A8" w:rsidP="00572854">
            <w:pPr>
              <w:spacing w:after="0"/>
              <w:rPr>
                <w:rFonts w:ascii="Helvetica" w:hAnsi="Helvetica" w:cs="Arial"/>
              </w:rPr>
            </w:pPr>
          </w:p>
          <w:p w14:paraId="0640EC91" w14:textId="467B9493" w:rsidR="001B673C" w:rsidRPr="00572854" w:rsidRDefault="001B673C" w:rsidP="00572854">
            <w:pPr>
              <w:spacing w:after="0"/>
              <w:rPr>
                <w:rFonts w:ascii="Helvetica" w:hAnsi="Helvetica" w:cs="Arial"/>
              </w:rPr>
            </w:pPr>
          </w:p>
        </w:tc>
      </w:tr>
      <w:tr w:rsidR="007C7E55" w14:paraId="67896740" w14:textId="77777777" w:rsidTr="00980F48">
        <w:tc>
          <w:tcPr>
            <w:tcW w:w="8640" w:type="dxa"/>
          </w:tcPr>
          <w:p w14:paraId="039C1089" w14:textId="7DE37B33" w:rsidR="00980F48" w:rsidRPr="001B673C" w:rsidRDefault="00980F48" w:rsidP="00980F48">
            <w:pPr>
              <w:pStyle w:val="ListParagraph"/>
              <w:numPr>
                <w:ilvl w:val="0"/>
                <w:numId w:val="3"/>
              </w:numPr>
              <w:spacing w:after="0"/>
              <w:ind w:left="450" w:hanging="450"/>
              <w:rPr>
                <w:rFonts w:ascii="Helvetica" w:hAnsi="Helvetica" w:cs="Arial"/>
                <w:b/>
                <w:color w:val="000000" w:themeColor="text1"/>
                <w:sz w:val="28"/>
                <w:szCs w:val="28"/>
              </w:rPr>
            </w:pPr>
            <w:r w:rsidRPr="001B673C">
              <w:rPr>
                <w:rFonts w:ascii="Helvetica" w:hAnsi="Helvetica" w:cs="Arial"/>
                <w:b/>
                <w:color w:val="000000" w:themeColor="text1"/>
                <w:sz w:val="28"/>
                <w:szCs w:val="28"/>
              </w:rPr>
              <w:t>Application to Conference theme:</w:t>
            </w:r>
          </w:p>
          <w:p w14:paraId="48D98D05" w14:textId="77777777" w:rsidR="007C7E55" w:rsidRPr="001B673C" w:rsidRDefault="00980F48" w:rsidP="00980F48">
            <w:pPr>
              <w:spacing w:after="0"/>
              <w:rPr>
                <w:rFonts w:ascii="Helvetica" w:hAnsi="Helvetica" w:cs="Arial"/>
                <w:i/>
                <w:color w:val="000000" w:themeColor="text1"/>
              </w:rPr>
            </w:pPr>
            <w:r w:rsidRPr="001B673C">
              <w:rPr>
                <w:rFonts w:ascii="Helvetica" w:hAnsi="Helvetica" w:cs="Arial"/>
                <w:i/>
                <w:color w:val="000000" w:themeColor="text1"/>
              </w:rPr>
              <w:t>How does your session fit with the overall OBTC theme of Learning in Community?</w:t>
            </w:r>
          </w:p>
          <w:p w14:paraId="746AE315" w14:textId="77777777" w:rsidR="00980F48" w:rsidRPr="002A7DFB" w:rsidRDefault="00980F48" w:rsidP="00980F48">
            <w:pPr>
              <w:spacing w:after="0"/>
              <w:rPr>
                <w:rFonts w:ascii="Helvetica" w:hAnsi="Helvetica" w:cs="Helvetica"/>
                <w:i/>
                <w:color w:val="000000" w:themeColor="text1"/>
              </w:rPr>
            </w:pPr>
          </w:p>
          <w:p w14:paraId="34B0414C" w14:textId="57DB84D3" w:rsidR="005A6173" w:rsidRPr="00451F5E" w:rsidRDefault="001731A9" w:rsidP="00980F48">
            <w:pPr>
              <w:spacing w:after="0"/>
              <w:rPr>
                <w:rFonts w:ascii="Cambria" w:hAnsi="Cambria" w:cs="Helvetica"/>
                <w:color w:val="000000" w:themeColor="text1"/>
              </w:rPr>
            </w:pPr>
            <w:r w:rsidRPr="00451F5E">
              <w:rPr>
                <w:rFonts w:ascii="Cambria" w:hAnsi="Cambria" w:cs="Helvetica"/>
                <w:color w:val="000000" w:themeColor="text1"/>
              </w:rPr>
              <w:t>O</w:t>
            </w:r>
            <w:r w:rsidR="00474A0D" w:rsidRPr="00451F5E">
              <w:rPr>
                <w:rFonts w:ascii="Cambria" w:hAnsi="Cambria" w:cs="Helvetica"/>
                <w:color w:val="000000" w:themeColor="text1"/>
              </w:rPr>
              <w:t xml:space="preserve">ur session is directly linked to the conference theme, as the Governance &amp; Leadership Development Practicum (about which our session is focused) is wholly centered on the practice of learning in community. Moreover, the development and implementation of the course was co-created through a process of stakeholder engagement, which included community leaders, students, and faculty peers. </w:t>
            </w:r>
            <w:r w:rsidRPr="00451F5E">
              <w:rPr>
                <w:rFonts w:ascii="Cambria" w:hAnsi="Cambria" w:cs="Helvetica"/>
                <w:color w:val="000000" w:themeColor="text1"/>
              </w:rPr>
              <w:t xml:space="preserve">Thus, our session will demonstrate learning </w:t>
            </w:r>
            <w:r w:rsidRPr="00451F5E">
              <w:rPr>
                <w:rFonts w:ascii="Cambria" w:hAnsi="Cambria" w:cs="Helvetica"/>
                <w:i/>
                <w:color w:val="000000" w:themeColor="text1"/>
              </w:rPr>
              <w:t>with</w:t>
            </w:r>
            <w:r w:rsidRPr="00451F5E">
              <w:rPr>
                <w:rFonts w:ascii="Cambria" w:hAnsi="Cambria" w:cs="Helvetica"/>
                <w:color w:val="000000" w:themeColor="text1"/>
              </w:rPr>
              <w:t xml:space="preserve"> community as well as learning </w:t>
            </w:r>
            <w:r w:rsidRPr="00451F5E">
              <w:rPr>
                <w:rFonts w:ascii="Cambria" w:hAnsi="Cambria" w:cs="Helvetica"/>
                <w:i/>
                <w:color w:val="000000" w:themeColor="text1"/>
              </w:rPr>
              <w:t>in</w:t>
            </w:r>
            <w:r w:rsidRPr="00451F5E">
              <w:rPr>
                <w:rFonts w:ascii="Cambria" w:hAnsi="Cambria" w:cs="Helvetica"/>
                <w:color w:val="000000" w:themeColor="text1"/>
              </w:rPr>
              <w:t xml:space="preserve"> community. </w:t>
            </w:r>
          </w:p>
          <w:p w14:paraId="165A05EA" w14:textId="77777777" w:rsidR="00216DEB" w:rsidRPr="001B673C" w:rsidRDefault="00216DEB" w:rsidP="00980F48">
            <w:pPr>
              <w:spacing w:after="0"/>
              <w:rPr>
                <w:rFonts w:ascii="Helvetica" w:hAnsi="Helvetica" w:cs="Arial"/>
                <w:color w:val="000000" w:themeColor="text1"/>
              </w:rPr>
            </w:pPr>
          </w:p>
          <w:p w14:paraId="412C9CD5" w14:textId="153319DC" w:rsidR="00980F48" w:rsidRPr="001B673C" w:rsidRDefault="00980F48" w:rsidP="00980F48">
            <w:pPr>
              <w:spacing w:after="0"/>
              <w:rPr>
                <w:rFonts w:ascii="Helvetica" w:hAnsi="Helvetica" w:cs="Arial"/>
                <w:i/>
                <w:color w:val="000000" w:themeColor="text1"/>
              </w:rPr>
            </w:pPr>
          </w:p>
        </w:tc>
      </w:tr>
      <w:tr w:rsidR="00AF7378" w14:paraId="093A85AA" w14:textId="77777777" w:rsidTr="00980F48">
        <w:tc>
          <w:tcPr>
            <w:tcW w:w="8640" w:type="dxa"/>
          </w:tcPr>
          <w:p w14:paraId="0FE3BCD0" w14:textId="65A03085" w:rsidR="00AF7378" w:rsidRPr="000F233E" w:rsidRDefault="0062267A" w:rsidP="00AF7378">
            <w:pPr>
              <w:pStyle w:val="ListParagraph"/>
              <w:numPr>
                <w:ilvl w:val="0"/>
                <w:numId w:val="3"/>
              </w:numPr>
              <w:spacing w:after="0"/>
              <w:ind w:left="450" w:hanging="450"/>
              <w:rPr>
                <w:rFonts w:ascii="Helvetica" w:hAnsi="Helvetica" w:cs="Arial"/>
                <w:b/>
                <w:color w:val="000000" w:themeColor="text1"/>
                <w:sz w:val="28"/>
                <w:szCs w:val="28"/>
              </w:rPr>
            </w:pPr>
            <w:r w:rsidRPr="000F233E">
              <w:rPr>
                <w:rFonts w:ascii="Helvetica" w:hAnsi="Helvetica" w:cs="Arial"/>
                <w:b/>
                <w:color w:val="000000" w:themeColor="text1"/>
                <w:sz w:val="28"/>
                <w:szCs w:val="28"/>
              </w:rPr>
              <w:lastRenderedPageBreak/>
              <w:t>Unique Contribution to OBTC:</w:t>
            </w:r>
          </w:p>
          <w:p w14:paraId="103CCDF1" w14:textId="2EBE7790" w:rsidR="00D43208" w:rsidRPr="000F233E" w:rsidRDefault="0062267A" w:rsidP="00D43208">
            <w:pPr>
              <w:spacing w:after="0"/>
              <w:rPr>
                <w:rFonts w:ascii="Helvetica" w:hAnsi="Helvetica" w:cs="Arial"/>
                <w:i/>
                <w:color w:val="000000" w:themeColor="text1"/>
              </w:rPr>
            </w:pPr>
            <w:r w:rsidRPr="000F233E">
              <w:rPr>
                <w:rFonts w:ascii="Helvetica" w:hAnsi="Helvetica" w:cs="Arial"/>
                <w:i/>
                <w:color w:val="000000" w:themeColor="text1"/>
              </w:rPr>
              <w:t>Have you presented the work in this proposal before? If so, how will it be different?</w:t>
            </w:r>
            <w:r w:rsidR="00D43208" w:rsidRPr="000F233E">
              <w:rPr>
                <w:rFonts w:ascii="Helvetica" w:hAnsi="Helvetica" w:cs="Arial"/>
                <w:i/>
                <w:color w:val="000000" w:themeColor="text1"/>
              </w:rPr>
              <w:t xml:space="preserve"> Is this proposal under current review somewhere else? If so, please explain. How will your proposal be different for the OBTC conference?</w:t>
            </w:r>
          </w:p>
          <w:p w14:paraId="1D4AF438" w14:textId="77777777" w:rsidR="007C7E55" w:rsidRPr="000F233E" w:rsidRDefault="007C7E55" w:rsidP="00D43208">
            <w:pPr>
              <w:spacing w:after="0"/>
              <w:rPr>
                <w:rFonts w:ascii="Helvetica" w:hAnsi="Helvetica" w:cs="Arial"/>
                <w:i/>
                <w:color w:val="000000" w:themeColor="text1"/>
              </w:rPr>
            </w:pPr>
          </w:p>
          <w:p w14:paraId="644A7429" w14:textId="584B3789" w:rsidR="00AF7378" w:rsidRPr="00451F5E" w:rsidRDefault="007C7E55" w:rsidP="00AF7378">
            <w:pPr>
              <w:spacing w:after="0"/>
              <w:rPr>
                <w:rFonts w:asciiTheme="minorHAnsi" w:hAnsiTheme="minorHAnsi" w:cs="Arial"/>
                <w:color w:val="000000" w:themeColor="text1"/>
              </w:rPr>
            </w:pPr>
            <w:r w:rsidRPr="00451F5E">
              <w:rPr>
                <w:rFonts w:asciiTheme="minorHAnsi" w:hAnsiTheme="minorHAnsi" w:cs="Arial"/>
                <w:color w:val="000000" w:themeColor="text1"/>
              </w:rPr>
              <w:t>This is a new proposal, thus we have not presented this work elsewhere.</w:t>
            </w:r>
          </w:p>
          <w:p w14:paraId="17573FE2" w14:textId="77777777" w:rsidR="00AF7378" w:rsidRPr="000F233E" w:rsidRDefault="00AF7378" w:rsidP="00AF7378">
            <w:pPr>
              <w:spacing w:after="0"/>
              <w:rPr>
                <w:rFonts w:ascii="Helvetica" w:hAnsi="Helvetica" w:cs="Arial"/>
                <w:color w:val="000000" w:themeColor="text1"/>
              </w:rPr>
            </w:pPr>
          </w:p>
        </w:tc>
      </w:tr>
    </w:tbl>
    <w:p w14:paraId="42BAE4CC" w14:textId="1E5DB2A7" w:rsidR="001862F8" w:rsidRDefault="001862F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4714B41A" w14:textId="77777777" w:rsidTr="00920EDF">
        <w:tc>
          <w:tcPr>
            <w:tcW w:w="8640" w:type="dxa"/>
          </w:tcPr>
          <w:p w14:paraId="2D2094B2" w14:textId="7BE9946E" w:rsidR="007C7E55" w:rsidRDefault="007C7E55" w:rsidP="007C7E55">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79FAB725" w14:textId="77777777" w:rsidR="00253F36" w:rsidRPr="001862F8" w:rsidRDefault="00253F36" w:rsidP="00253F36">
            <w:pPr>
              <w:spacing w:after="0"/>
              <w:rPr>
                <w:rFonts w:ascii="Helvetica" w:hAnsi="Helvetica" w:cs="Helvetica"/>
              </w:rPr>
            </w:pPr>
          </w:p>
          <w:p w14:paraId="1C5B92DF" w14:textId="14D8FB3C" w:rsidR="009814D7" w:rsidRPr="00451F5E" w:rsidRDefault="009814D7" w:rsidP="009814D7">
            <w:pPr>
              <w:spacing w:after="240" w:line="240" w:lineRule="auto"/>
              <w:ind w:left="709" w:hanging="709"/>
              <w:rPr>
                <w:rFonts w:ascii="Cambria" w:hAnsi="Cambria"/>
              </w:rPr>
            </w:pPr>
            <w:r w:rsidRPr="00451F5E">
              <w:rPr>
                <w:rFonts w:ascii="Cambria" w:hAnsi="Cambria"/>
              </w:rPr>
              <w:t xml:space="preserve">Bartel, C. A., Saavedra, R., &amp; Van Dyne, L. (2001). Design conditions for learning in community service contexts. </w:t>
            </w:r>
            <w:r w:rsidRPr="00451F5E">
              <w:rPr>
                <w:rFonts w:ascii="Cambria" w:hAnsi="Cambria"/>
                <w:i/>
              </w:rPr>
              <w:t>Journal of Organizational Behavior, 22,</w:t>
            </w:r>
            <w:r w:rsidRPr="00451F5E">
              <w:rPr>
                <w:rFonts w:ascii="Cambria" w:hAnsi="Cambria"/>
              </w:rPr>
              <w:t xml:space="preserve"> 367-385.</w:t>
            </w:r>
          </w:p>
          <w:p w14:paraId="1ADC96DB" w14:textId="02884576" w:rsidR="009814D7" w:rsidRPr="00451F5E" w:rsidRDefault="009814D7" w:rsidP="009814D7">
            <w:pPr>
              <w:autoSpaceDE w:val="0"/>
              <w:autoSpaceDN w:val="0"/>
              <w:adjustRightInd w:val="0"/>
              <w:spacing w:after="240" w:line="240" w:lineRule="auto"/>
              <w:ind w:left="567" w:hanging="567"/>
              <w:rPr>
                <w:rFonts w:ascii="Cambria" w:hAnsi="Cambria" w:cs="Minion-Regular"/>
                <w:b/>
                <w:i/>
              </w:rPr>
            </w:pPr>
            <w:r w:rsidRPr="00451F5E">
              <w:rPr>
                <w:rFonts w:ascii="Cambria" w:hAnsi="Cambria" w:cs="Minion-Regular"/>
              </w:rPr>
              <w:t xml:space="preserve">Dumas, C. (2002). Community-based service learning: Does it have a role in management education? </w:t>
            </w:r>
            <w:r w:rsidRPr="00451F5E">
              <w:rPr>
                <w:rFonts w:ascii="Cambria" w:hAnsi="Cambria" w:cs="Minion-Regular"/>
                <w:i/>
              </w:rPr>
              <w:t>International Journal of Value Based Management, 15,</w:t>
            </w:r>
            <w:r w:rsidRPr="00451F5E">
              <w:rPr>
                <w:rFonts w:ascii="Cambria" w:hAnsi="Cambria" w:cs="Minion-Regular"/>
              </w:rPr>
              <w:t xml:space="preserve"> 249-264.</w:t>
            </w:r>
          </w:p>
          <w:p w14:paraId="1C6ED5DD" w14:textId="5CCCE9F6" w:rsidR="0004327D" w:rsidRDefault="0004327D" w:rsidP="009814D7">
            <w:pPr>
              <w:widowControl w:val="0"/>
              <w:autoSpaceDE w:val="0"/>
              <w:autoSpaceDN w:val="0"/>
              <w:adjustRightInd w:val="0"/>
              <w:spacing w:after="240" w:line="240" w:lineRule="auto"/>
              <w:ind w:left="567" w:hanging="567"/>
              <w:rPr>
                <w:rFonts w:ascii="Cambria" w:hAnsi="Cambria"/>
              </w:rPr>
            </w:pPr>
            <w:r>
              <w:rPr>
                <w:rFonts w:ascii="Cambria" w:hAnsi="Cambria"/>
              </w:rPr>
              <w:t xml:space="preserve">Finkelstein, S., &amp; Mooney, A. C. (2003). Not the usual suspects: How to use board process to make boards better. </w:t>
            </w:r>
            <w:r w:rsidRPr="0004327D">
              <w:rPr>
                <w:rFonts w:ascii="Cambria" w:hAnsi="Cambria"/>
                <w:i/>
              </w:rPr>
              <w:t>Academy of Management Executive, 17,</w:t>
            </w:r>
            <w:r>
              <w:rPr>
                <w:rFonts w:ascii="Cambria" w:hAnsi="Cambria"/>
              </w:rPr>
              <w:t xml:space="preserve"> 101-113.</w:t>
            </w:r>
          </w:p>
          <w:p w14:paraId="68F431B4" w14:textId="0CE92E44" w:rsidR="009814D7" w:rsidRPr="00451F5E" w:rsidRDefault="009814D7" w:rsidP="009814D7">
            <w:pPr>
              <w:widowControl w:val="0"/>
              <w:autoSpaceDE w:val="0"/>
              <w:autoSpaceDN w:val="0"/>
              <w:adjustRightInd w:val="0"/>
              <w:spacing w:after="240" w:line="240" w:lineRule="auto"/>
              <w:ind w:left="567" w:hanging="567"/>
              <w:rPr>
                <w:rFonts w:ascii="Cambria" w:hAnsi="Cambria"/>
              </w:rPr>
            </w:pPr>
            <w:r w:rsidRPr="00451F5E">
              <w:rPr>
                <w:rFonts w:ascii="Cambria" w:hAnsi="Cambria"/>
              </w:rPr>
              <w:t xml:space="preserve">Madsen, S. R., &amp; Turnbull, O. (2006). Academic service learning experiences of compensation and benefits course students. </w:t>
            </w:r>
            <w:r w:rsidRPr="00451F5E">
              <w:rPr>
                <w:rFonts w:ascii="Cambria" w:hAnsi="Cambria"/>
                <w:i/>
              </w:rPr>
              <w:t>Journal of Management Education, 30,</w:t>
            </w:r>
            <w:r w:rsidRPr="00451F5E">
              <w:rPr>
                <w:rFonts w:ascii="Cambria" w:hAnsi="Cambria"/>
              </w:rPr>
              <w:t xml:space="preserve"> 724-742.</w:t>
            </w:r>
          </w:p>
          <w:p w14:paraId="7B23B8A7" w14:textId="72679DFA" w:rsidR="009814D7" w:rsidRPr="00451F5E" w:rsidRDefault="009814D7" w:rsidP="009814D7">
            <w:pPr>
              <w:widowControl w:val="0"/>
              <w:autoSpaceDE w:val="0"/>
              <w:autoSpaceDN w:val="0"/>
              <w:adjustRightInd w:val="0"/>
              <w:spacing w:after="240" w:line="240" w:lineRule="auto"/>
              <w:ind w:left="567" w:hanging="567"/>
              <w:rPr>
                <w:rFonts w:ascii="Cambria" w:hAnsi="Cambria"/>
              </w:rPr>
            </w:pPr>
            <w:r w:rsidRPr="00451F5E">
              <w:rPr>
                <w:rFonts w:ascii="Cambria" w:hAnsi="Cambria"/>
              </w:rPr>
              <w:t>McClam, T., Diambra, J. F., Burton, B., Fuss, A., &amp; Fudge, D. L. (2008). An analysis of a service-learning project: Students’ expectations, concerns, and reflections</w:t>
            </w:r>
            <w:r w:rsidRPr="00451F5E">
              <w:rPr>
                <w:rFonts w:ascii="Cambria" w:hAnsi="Cambria"/>
                <w:i/>
              </w:rPr>
              <w:t>.</w:t>
            </w:r>
            <w:r w:rsidRPr="00451F5E">
              <w:rPr>
                <w:rFonts w:ascii="Cambria" w:hAnsi="Cambria"/>
                <w:b/>
                <w:i/>
              </w:rPr>
              <w:t xml:space="preserve"> </w:t>
            </w:r>
            <w:r w:rsidRPr="00451F5E">
              <w:rPr>
                <w:rFonts w:ascii="Cambria" w:hAnsi="Cambria"/>
                <w:i/>
              </w:rPr>
              <w:t>Journal of Experiential Education, 30,</w:t>
            </w:r>
            <w:r w:rsidRPr="00451F5E">
              <w:rPr>
                <w:rFonts w:ascii="Cambria" w:hAnsi="Cambria"/>
              </w:rPr>
              <w:t xml:space="preserve"> 236-249.</w:t>
            </w:r>
          </w:p>
          <w:p w14:paraId="246FDEF2" w14:textId="6EE5DCC9" w:rsidR="009814D7" w:rsidRDefault="009814D7" w:rsidP="009814D7">
            <w:pPr>
              <w:widowControl w:val="0"/>
              <w:autoSpaceDE w:val="0"/>
              <w:autoSpaceDN w:val="0"/>
              <w:adjustRightInd w:val="0"/>
              <w:spacing w:after="240" w:line="240" w:lineRule="auto"/>
              <w:ind w:left="567" w:hanging="567"/>
              <w:rPr>
                <w:rFonts w:ascii="Cambria" w:hAnsi="Cambria"/>
              </w:rPr>
            </w:pPr>
            <w:r w:rsidRPr="00451F5E">
              <w:rPr>
                <w:rFonts w:ascii="Cambria" w:hAnsi="Cambria"/>
              </w:rPr>
              <w:t xml:space="preserve">McLaughlin, E. (2010). The “real-world” experience: Students’ perspectives on service-learning projects. </w:t>
            </w:r>
            <w:r w:rsidRPr="00451F5E">
              <w:rPr>
                <w:rFonts w:ascii="Cambria" w:hAnsi="Cambria"/>
                <w:i/>
              </w:rPr>
              <w:t>American Journal of Business Education, 3,</w:t>
            </w:r>
            <w:r w:rsidRPr="00451F5E">
              <w:rPr>
                <w:rFonts w:ascii="Cambria" w:hAnsi="Cambria"/>
              </w:rPr>
              <w:t xml:space="preserve"> 109-117.</w:t>
            </w:r>
          </w:p>
          <w:p w14:paraId="59831FC1" w14:textId="376F27D0" w:rsidR="00920EDF" w:rsidRDefault="00B871A7" w:rsidP="009814D7">
            <w:pPr>
              <w:widowControl w:val="0"/>
              <w:autoSpaceDE w:val="0"/>
              <w:autoSpaceDN w:val="0"/>
              <w:adjustRightInd w:val="0"/>
              <w:spacing w:after="240" w:line="240" w:lineRule="auto"/>
              <w:ind w:left="567" w:hanging="567"/>
              <w:rPr>
                <w:rFonts w:ascii="Cambria" w:hAnsi="Cambria"/>
              </w:rPr>
            </w:pPr>
            <w:r>
              <w:rPr>
                <w:rFonts w:ascii="Cambria" w:hAnsi="Cambria"/>
              </w:rPr>
              <w:t>Nonaka, I. (1998</w:t>
            </w:r>
            <w:r w:rsidR="00920EDF">
              <w:rPr>
                <w:rFonts w:ascii="Cambria" w:hAnsi="Cambria"/>
              </w:rPr>
              <w:t xml:space="preserve">). The knowledge-creating company. </w:t>
            </w:r>
            <w:r>
              <w:rPr>
                <w:rFonts w:ascii="Cambria" w:hAnsi="Cambria"/>
              </w:rPr>
              <w:t xml:space="preserve">In D. Neef, G. A. Siesfeld, and J. Cefola (Eds.). </w:t>
            </w:r>
            <w:r w:rsidRPr="00B871A7">
              <w:rPr>
                <w:rFonts w:ascii="Cambria" w:hAnsi="Cambria"/>
                <w:i/>
              </w:rPr>
              <w:t>The economic impact of knowledge</w:t>
            </w:r>
            <w:r>
              <w:rPr>
                <w:rFonts w:ascii="Cambria" w:hAnsi="Cambria"/>
                <w:i/>
              </w:rPr>
              <w:t xml:space="preserve">, </w:t>
            </w:r>
            <w:r w:rsidRPr="00B871A7">
              <w:rPr>
                <w:rFonts w:ascii="Cambria" w:hAnsi="Cambria"/>
              </w:rPr>
              <w:t>pp. 175-188.</w:t>
            </w:r>
            <w:r>
              <w:rPr>
                <w:rFonts w:ascii="Cambria" w:hAnsi="Cambria"/>
              </w:rPr>
              <w:t xml:space="preserve"> Butterworth-Heinemann: Woburn, MA. </w:t>
            </w:r>
          </w:p>
          <w:p w14:paraId="3C387502" w14:textId="4AAB23C0" w:rsidR="0004327D" w:rsidRPr="00451F5E" w:rsidRDefault="0004327D" w:rsidP="009814D7">
            <w:pPr>
              <w:widowControl w:val="0"/>
              <w:autoSpaceDE w:val="0"/>
              <w:autoSpaceDN w:val="0"/>
              <w:adjustRightInd w:val="0"/>
              <w:spacing w:after="240" w:line="240" w:lineRule="auto"/>
              <w:ind w:left="567" w:hanging="567"/>
              <w:rPr>
                <w:rFonts w:ascii="Cambria" w:hAnsi="Cambria"/>
              </w:rPr>
            </w:pPr>
            <w:r>
              <w:rPr>
                <w:rFonts w:ascii="Cambria" w:hAnsi="Cambria"/>
              </w:rPr>
              <w:t xml:space="preserve">Viader, A. M., &amp; Espina, M. I. (2014). Are not-for-profits learning from for-profit organizations? A look into governance. </w:t>
            </w:r>
            <w:r w:rsidRPr="0004327D">
              <w:rPr>
                <w:rFonts w:ascii="Cambria" w:hAnsi="Cambria"/>
                <w:i/>
              </w:rPr>
              <w:t>Corporate Governance, 14,</w:t>
            </w:r>
            <w:r>
              <w:rPr>
                <w:rFonts w:ascii="Cambria" w:hAnsi="Cambria"/>
              </w:rPr>
              <w:t xml:space="preserve"> 1-14. </w:t>
            </w:r>
          </w:p>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0856"/>
    <w:multiLevelType w:val="hybridMultilevel"/>
    <w:tmpl w:val="E83279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534C63EA"/>
    <w:multiLevelType w:val="hybridMultilevel"/>
    <w:tmpl w:val="CCF8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733D1D"/>
    <w:multiLevelType w:val="hybridMultilevel"/>
    <w:tmpl w:val="A32EC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645A"/>
    <w:rsid w:val="00032567"/>
    <w:rsid w:val="0004327D"/>
    <w:rsid w:val="00044BC5"/>
    <w:rsid w:val="000945D1"/>
    <w:rsid w:val="00097AC2"/>
    <w:rsid w:val="000A1B53"/>
    <w:rsid w:val="000B1200"/>
    <w:rsid w:val="000C7C05"/>
    <w:rsid w:val="000D137A"/>
    <w:rsid w:val="000F233E"/>
    <w:rsid w:val="001409D7"/>
    <w:rsid w:val="001461AC"/>
    <w:rsid w:val="001731A9"/>
    <w:rsid w:val="0017334D"/>
    <w:rsid w:val="00181614"/>
    <w:rsid w:val="001862F8"/>
    <w:rsid w:val="0019258E"/>
    <w:rsid w:val="00194D8E"/>
    <w:rsid w:val="001A14A8"/>
    <w:rsid w:val="001B673C"/>
    <w:rsid w:val="001D0A40"/>
    <w:rsid w:val="00216DEB"/>
    <w:rsid w:val="00253F36"/>
    <w:rsid w:val="00267C45"/>
    <w:rsid w:val="002A2074"/>
    <w:rsid w:val="002A24CA"/>
    <w:rsid w:val="002A7DFB"/>
    <w:rsid w:val="002B5A58"/>
    <w:rsid w:val="002F4E90"/>
    <w:rsid w:val="002F6D70"/>
    <w:rsid w:val="0030737F"/>
    <w:rsid w:val="00394782"/>
    <w:rsid w:val="003C1558"/>
    <w:rsid w:val="003C4FC0"/>
    <w:rsid w:val="003D0448"/>
    <w:rsid w:val="003D1C53"/>
    <w:rsid w:val="003D6E73"/>
    <w:rsid w:val="004012DE"/>
    <w:rsid w:val="00451F5E"/>
    <w:rsid w:val="00473772"/>
    <w:rsid w:val="00473E69"/>
    <w:rsid w:val="00474A0D"/>
    <w:rsid w:val="004C55D4"/>
    <w:rsid w:val="004D7E34"/>
    <w:rsid w:val="005242BE"/>
    <w:rsid w:val="00535B0A"/>
    <w:rsid w:val="00572854"/>
    <w:rsid w:val="0058065C"/>
    <w:rsid w:val="005A6173"/>
    <w:rsid w:val="005C77CE"/>
    <w:rsid w:val="005D6F6C"/>
    <w:rsid w:val="00610A2C"/>
    <w:rsid w:val="0062267A"/>
    <w:rsid w:val="00627A72"/>
    <w:rsid w:val="0064278C"/>
    <w:rsid w:val="00644BC8"/>
    <w:rsid w:val="00645E54"/>
    <w:rsid w:val="006571BD"/>
    <w:rsid w:val="006C53A2"/>
    <w:rsid w:val="006F3772"/>
    <w:rsid w:val="006F4822"/>
    <w:rsid w:val="0070649F"/>
    <w:rsid w:val="00710C75"/>
    <w:rsid w:val="00713C97"/>
    <w:rsid w:val="00753C84"/>
    <w:rsid w:val="0079298A"/>
    <w:rsid w:val="007C7E55"/>
    <w:rsid w:val="007E0FB4"/>
    <w:rsid w:val="00822EDA"/>
    <w:rsid w:val="00845E72"/>
    <w:rsid w:val="008903CD"/>
    <w:rsid w:val="008A372F"/>
    <w:rsid w:val="008D1BA5"/>
    <w:rsid w:val="008F75D7"/>
    <w:rsid w:val="00903B88"/>
    <w:rsid w:val="0090670C"/>
    <w:rsid w:val="00914953"/>
    <w:rsid w:val="00916CF9"/>
    <w:rsid w:val="00920EDF"/>
    <w:rsid w:val="00925ABB"/>
    <w:rsid w:val="00967E01"/>
    <w:rsid w:val="00980F48"/>
    <w:rsid w:val="009814D7"/>
    <w:rsid w:val="00982C65"/>
    <w:rsid w:val="00983CD6"/>
    <w:rsid w:val="009A6A48"/>
    <w:rsid w:val="009D5E76"/>
    <w:rsid w:val="009F0D97"/>
    <w:rsid w:val="00A01280"/>
    <w:rsid w:val="00A44906"/>
    <w:rsid w:val="00A606A7"/>
    <w:rsid w:val="00AA0697"/>
    <w:rsid w:val="00AC32E3"/>
    <w:rsid w:val="00AD2CC9"/>
    <w:rsid w:val="00AF1C66"/>
    <w:rsid w:val="00AF703E"/>
    <w:rsid w:val="00AF7378"/>
    <w:rsid w:val="00B02BF3"/>
    <w:rsid w:val="00B5386B"/>
    <w:rsid w:val="00B871A7"/>
    <w:rsid w:val="00BC0BBC"/>
    <w:rsid w:val="00BC2A20"/>
    <w:rsid w:val="00BC34A1"/>
    <w:rsid w:val="00BD6F83"/>
    <w:rsid w:val="00BD7126"/>
    <w:rsid w:val="00BE3E80"/>
    <w:rsid w:val="00BF2E8C"/>
    <w:rsid w:val="00C24255"/>
    <w:rsid w:val="00C33DED"/>
    <w:rsid w:val="00C57A40"/>
    <w:rsid w:val="00C8081A"/>
    <w:rsid w:val="00D2549A"/>
    <w:rsid w:val="00D25A99"/>
    <w:rsid w:val="00D319E3"/>
    <w:rsid w:val="00D43208"/>
    <w:rsid w:val="00D54455"/>
    <w:rsid w:val="00D80BB3"/>
    <w:rsid w:val="00D92A68"/>
    <w:rsid w:val="00DC1F1F"/>
    <w:rsid w:val="00DE1D09"/>
    <w:rsid w:val="00DE601C"/>
    <w:rsid w:val="00DF1350"/>
    <w:rsid w:val="00E00D30"/>
    <w:rsid w:val="00E22C09"/>
    <w:rsid w:val="00E24095"/>
    <w:rsid w:val="00E52222"/>
    <w:rsid w:val="00E540A7"/>
    <w:rsid w:val="00EE0261"/>
    <w:rsid w:val="00EE5F18"/>
    <w:rsid w:val="00EF3D08"/>
    <w:rsid w:val="00F10CCB"/>
    <w:rsid w:val="00F145AF"/>
    <w:rsid w:val="00F315CF"/>
    <w:rsid w:val="00F33555"/>
    <w:rsid w:val="00F621D2"/>
    <w:rsid w:val="00F64B4E"/>
    <w:rsid w:val="00F73D7D"/>
    <w:rsid w:val="00FA0A6B"/>
    <w:rsid w:val="00FB3884"/>
    <w:rsid w:val="00FE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5:docId w15:val="{8A440EFD-C90F-486D-BC9D-994D1971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customStyle="1" w:styleId="Default">
    <w:name w:val="Default"/>
    <w:rsid w:val="00DF1350"/>
    <w:pPr>
      <w:autoSpaceDE w:val="0"/>
      <w:autoSpaceDN w:val="0"/>
      <w:adjustRightInd w:val="0"/>
    </w:pPr>
    <w:rPr>
      <w:rFonts w:ascii="Arial" w:hAnsi="Arial" w:cs="Arial"/>
      <w:color w:val="000000"/>
      <w:lang w:val="en-CA"/>
    </w:rPr>
  </w:style>
  <w:style w:type="character" w:styleId="CommentReference">
    <w:name w:val="annotation reference"/>
    <w:basedOn w:val="DefaultParagraphFont"/>
    <w:uiPriority w:val="99"/>
    <w:semiHidden/>
    <w:unhideWhenUsed/>
    <w:rsid w:val="00903B88"/>
    <w:rPr>
      <w:sz w:val="16"/>
      <w:szCs w:val="16"/>
    </w:rPr>
  </w:style>
  <w:style w:type="paragraph" w:styleId="CommentText">
    <w:name w:val="annotation text"/>
    <w:basedOn w:val="Normal"/>
    <w:link w:val="CommentTextChar"/>
    <w:uiPriority w:val="99"/>
    <w:semiHidden/>
    <w:unhideWhenUsed/>
    <w:rsid w:val="00903B88"/>
    <w:pPr>
      <w:spacing w:line="240" w:lineRule="auto"/>
    </w:pPr>
    <w:rPr>
      <w:sz w:val="20"/>
      <w:szCs w:val="20"/>
    </w:rPr>
  </w:style>
  <w:style w:type="character" w:customStyle="1" w:styleId="CommentTextChar">
    <w:name w:val="Comment Text Char"/>
    <w:basedOn w:val="DefaultParagraphFont"/>
    <w:link w:val="CommentText"/>
    <w:uiPriority w:val="99"/>
    <w:semiHidden/>
    <w:rsid w:val="00903B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3B88"/>
    <w:rPr>
      <w:b/>
      <w:bCs/>
    </w:rPr>
  </w:style>
  <w:style w:type="character" w:customStyle="1" w:styleId="CommentSubjectChar">
    <w:name w:val="Comment Subject Char"/>
    <w:basedOn w:val="CommentTextChar"/>
    <w:link w:val="CommentSubject"/>
    <w:uiPriority w:val="99"/>
    <w:semiHidden/>
    <w:rsid w:val="00903B8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FE12858F.dotm</Template>
  <TotalTime>0</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Bruni-Bossio, Vincent</cp:lastModifiedBy>
  <cp:revision>2</cp:revision>
  <cp:lastPrinted>2014-10-14T19:42:00Z</cp:lastPrinted>
  <dcterms:created xsi:type="dcterms:W3CDTF">2015-01-20T00:34:00Z</dcterms:created>
  <dcterms:modified xsi:type="dcterms:W3CDTF">2015-01-20T00:34:00Z</dcterms:modified>
</cp:coreProperties>
</file>