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262D21EF" w14:textId="6BC6FCE3" w:rsidR="00031599" w:rsidRDefault="008177E9" w:rsidP="00031599">
      <w:pPr>
        <w:spacing w:after="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054678DD" w14:textId="77777777" w:rsidR="009B6840" w:rsidRPr="00B95FB2" w:rsidRDefault="009B6840" w:rsidP="009B6840">
      <w:pPr>
        <w:jc w:val="center"/>
        <w:rPr>
          <w:rFonts w:asciiTheme="minorHAnsi" w:hAnsiTheme="minorHAnsi"/>
          <w:b/>
        </w:rPr>
      </w:pPr>
      <w:r w:rsidRPr="00B95FB2">
        <w:rPr>
          <w:rFonts w:asciiTheme="minorHAnsi" w:hAnsiTheme="minorHAnsi"/>
          <w:b/>
        </w:rPr>
        <w:t>Using Student Self-Filmed Videos to Teach Integrative Negotiation</w:t>
      </w:r>
    </w:p>
    <w:p w14:paraId="141B7AF7" w14:textId="6476DDEF" w:rsidR="00264BFF" w:rsidRPr="00B95FB2" w:rsidRDefault="00264BFF" w:rsidP="00264BFF">
      <w:pPr>
        <w:rPr>
          <w:rFonts w:asciiTheme="minorHAnsi" w:hAnsiTheme="minorHAnsi"/>
        </w:rPr>
      </w:pPr>
      <w:r w:rsidRPr="00B95FB2">
        <w:rPr>
          <w:rFonts w:asciiTheme="minorHAnsi" w:hAnsiTheme="minorHAnsi"/>
        </w:rPr>
        <w:t xml:space="preserve">Teaching negotiation can be both enjoyable and frustrating.  Students enjoy </w:t>
      </w:r>
      <w:r w:rsidRPr="00B95FB2">
        <w:rPr>
          <w:rFonts w:asciiTheme="minorHAnsi" w:hAnsiTheme="minorHAnsi"/>
        </w:rPr>
        <w:t>negotiating</w:t>
      </w:r>
      <w:r w:rsidRPr="00B95FB2">
        <w:rPr>
          <w:rFonts w:asciiTheme="minorHAnsi" w:hAnsiTheme="minorHAnsi"/>
        </w:rPr>
        <w:t xml:space="preserve"> their in-class role p</w:t>
      </w:r>
      <w:r w:rsidRPr="00B95FB2">
        <w:rPr>
          <w:rFonts w:asciiTheme="minorHAnsi" w:hAnsiTheme="minorHAnsi"/>
        </w:rPr>
        <w:t>lays.  Ho</w:t>
      </w:r>
      <w:r w:rsidRPr="00B95FB2">
        <w:rPr>
          <w:rFonts w:asciiTheme="minorHAnsi" w:hAnsiTheme="minorHAnsi"/>
        </w:rPr>
        <w:t xml:space="preserve">wever, </w:t>
      </w:r>
      <w:r w:rsidRPr="00B95FB2">
        <w:rPr>
          <w:rFonts w:asciiTheme="minorHAnsi" w:hAnsiTheme="minorHAnsi"/>
        </w:rPr>
        <w:t xml:space="preserve">when it comes to students </w:t>
      </w:r>
      <w:r w:rsidRPr="00B95FB2">
        <w:rPr>
          <w:rFonts w:asciiTheme="minorHAnsi" w:hAnsiTheme="minorHAnsi"/>
        </w:rPr>
        <w:t>demonstrat</w:t>
      </w:r>
      <w:r w:rsidRPr="00B95FB2">
        <w:rPr>
          <w:rFonts w:asciiTheme="minorHAnsi" w:hAnsiTheme="minorHAnsi"/>
        </w:rPr>
        <w:t>ing specific</w:t>
      </w:r>
      <w:r w:rsidRPr="00B95FB2">
        <w:rPr>
          <w:rFonts w:asciiTheme="minorHAnsi" w:hAnsiTheme="minorHAnsi"/>
        </w:rPr>
        <w:t xml:space="preserve"> behaviors</w:t>
      </w:r>
      <w:r w:rsidRPr="00B95FB2">
        <w:rPr>
          <w:rFonts w:asciiTheme="minorHAnsi" w:hAnsiTheme="minorHAnsi"/>
        </w:rPr>
        <w:t xml:space="preserve">, there is a </w:t>
      </w:r>
      <w:r w:rsidRPr="00B95FB2">
        <w:rPr>
          <w:rFonts w:asciiTheme="minorHAnsi" w:hAnsiTheme="minorHAnsi"/>
        </w:rPr>
        <w:t xml:space="preserve">knowledge-skill gap </w:t>
      </w:r>
      <w:r w:rsidR="00B95FB2" w:rsidRPr="00B95FB2">
        <w:rPr>
          <w:rFonts w:asciiTheme="minorHAnsi" w:hAnsiTheme="minorHAnsi"/>
        </w:rPr>
        <w:t xml:space="preserve">that </w:t>
      </w:r>
      <w:r w:rsidRPr="00B95FB2">
        <w:rPr>
          <w:rFonts w:asciiTheme="minorHAnsi" w:hAnsiTheme="minorHAnsi"/>
        </w:rPr>
        <w:t>can be frustrating.</w:t>
      </w:r>
      <w:r w:rsidRPr="00B95FB2">
        <w:rPr>
          <w:rFonts w:asciiTheme="minorHAnsi" w:hAnsiTheme="minorHAnsi"/>
        </w:rPr>
        <w:t xml:space="preserve">  </w:t>
      </w:r>
    </w:p>
    <w:p w14:paraId="3592C6F8" w14:textId="5800A71F" w:rsidR="00B95FB2" w:rsidRPr="00B95FB2" w:rsidRDefault="00B95FB2" w:rsidP="00B95FB2">
      <w:pPr>
        <w:spacing w:after="0" w:line="240" w:lineRule="auto"/>
        <w:rPr>
          <w:rFonts w:asciiTheme="minorHAnsi" w:hAnsiTheme="minorHAnsi"/>
        </w:rPr>
      </w:pPr>
      <w:r w:rsidRPr="00B95FB2">
        <w:rPr>
          <w:rFonts w:asciiTheme="minorHAnsi" w:hAnsiTheme="minorHAnsi" w:cs="Arial"/>
        </w:rPr>
        <w:t>This session will demonstrate an</w:t>
      </w:r>
      <w:r w:rsidR="00264BFF" w:rsidRPr="00B95FB2">
        <w:rPr>
          <w:rFonts w:asciiTheme="minorHAnsi" w:hAnsiTheme="minorHAnsi" w:cs="Arial"/>
        </w:rPr>
        <w:t xml:space="preserve"> exercise </w:t>
      </w:r>
      <w:r w:rsidRPr="00B95FB2">
        <w:rPr>
          <w:rFonts w:asciiTheme="minorHAnsi" w:hAnsiTheme="minorHAnsi" w:cs="Arial"/>
        </w:rPr>
        <w:t xml:space="preserve">I have developed and refined over time to </w:t>
      </w:r>
      <w:r w:rsidRPr="00B95FB2">
        <w:rPr>
          <w:rFonts w:asciiTheme="minorHAnsi" w:hAnsiTheme="minorHAnsi"/>
        </w:rPr>
        <w:t>improve students’ ability to demonstrate integrative behaviors</w:t>
      </w:r>
      <w:r w:rsidRPr="00B95FB2">
        <w:rPr>
          <w:rFonts w:asciiTheme="minorHAnsi" w:hAnsiTheme="minorHAnsi"/>
        </w:rPr>
        <w:t xml:space="preserve">.  </w:t>
      </w:r>
      <w:r w:rsidRPr="00B95FB2">
        <w:rPr>
          <w:rFonts w:asciiTheme="minorHAnsi" w:hAnsiTheme="minorHAnsi" w:cs="Arial"/>
        </w:rPr>
        <w:t>S</w:t>
      </w:r>
      <w:r>
        <w:rPr>
          <w:rFonts w:asciiTheme="minorHAnsi" w:hAnsiTheme="minorHAnsi" w:cs="Arial"/>
        </w:rPr>
        <w:t>tudent-pairs</w:t>
      </w:r>
      <w:r w:rsidRPr="00B95FB2">
        <w:rPr>
          <w:rFonts w:asciiTheme="minorHAnsi" w:hAnsiTheme="minorHAnsi" w:cs="Arial"/>
        </w:rPr>
        <w:t xml:space="preserve"> film themselves negotiating</w:t>
      </w:r>
      <w:r>
        <w:rPr>
          <w:rFonts w:asciiTheme="minorHAnsi" w:hAnsiTheme="minorHAnsi" w:cs="Arial"/>
        </w:rPr>
        <w:t xml:space="preserve">, </w:t>
      </w:r>
      <w:proofErr w:type="gramStart"/>
      <w:r>
        <w:rPr>
          <w:rFonts w:asciiTheme="minorHAnsi" w:hAnsiTheme="minorHAnsi" w:cs="Arial"/>
        </w:rPr>
        <w:t>then</w:t>
      </w:r>
      <w:proofErr w:type="gramEnd"/>
      <w:r>
        <w:rPr>
          <w:rFonts w:asciiTheme="minorHAnsi" w:hAnsiTheme="minorHAnsi" w:cs="Arial"/>
        </w:rPr>
        <w:t xml:space="preserve"> analyze their performance and that of other students in class using a rubric.  </w:t>
      </w:r>
      <w:r w:rsidR="00465AC4">
        <w:rPr>
          <w:rFonts w:asciiTheme="minorHAnsi" w:hAnsiTheme="minorHAnsi" w:cs="Arial"/>
        </w:rPr>
        <w:t>The session will ask participants to participate in grading a video.</w:t>
      </w:r>
    </w:p>
    <w:p w14:paraId="60C39174" w14:textId="77777777" w:rsidR="00F17027" w:rsidRDefault="00F17027">
      <w:pPr>
        <w:spacing w:after="0" w:line="240" w:lineRule="auto"/>
        <w:rPr>
          <w:rFonts w:ascii="Helvetica" w:hAnsi="Helvetica" w:cs="Arial"/>
        </w:rPr>
      </w:pPr>
    </w:p>
    <w:p w14:paraId="49AFF378" w14:textId="2C1823BC" w:rsidR="00F17027" w:rsidRDefault="00465AC4">
      <w:pPr>
        <w:spacing w:after="0" w:line="240" w:lineRule="auto"/>
        <w:rPr>
          <w:rFonts w:ascii="Helvetica" w:hAnsi="Helvetica" w:cs="Arial"/>
        </w:rPr>
      </w:pPr>
      <w:r>
        <w:rPr>
          <w:rFonts w:ascii="Helvetica" w:hAnsi="Helvetica" w:cs="Arial"/>
        </w:rPr>
        <w:t>Terms: negotiation, win-win, student video</w:t>
      </w:r>
    </w:p>
    <w:p w14:paraId="7E1C24BF" w14:textId="77777777" w:rsidR="00F17027" w:rsidRDefault="00F17027">
      <w:pPr>
        <w:spacing w:after="0" w:line="240" w:lineRule="auto"/>
        <w:rPr>
          <w:rFonts w:ascii="Helvetica" w:hAnsi="Helvetica" w:cs="Arial"/>
        </w:rPr>
      </w:pP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4D819559"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009B6840">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482C1764" w14:textId="66A1BCDF" w:rsidR="002F6D70" w:rsidRDefault="002F6D70" w:rsidP="00465AC4">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25F2D045"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08E0065D"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009B6840">
        <w:rPr>
          <w:rFonts w:ascii="Helvetica" w:hAnsi="Helvetica" w:cs="Arial"/>
          <w:u w:val="single"/>
        </w:rPr>
        <w:t>X</w:t>
      </w: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40E3AB02"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009B6840">
        <w:rPr>
          <w:rFonts w:ascii="Helvetica" w:hAnsi="Helvetica" w:cs="Arial"/>
          <w:u w:val="single"/>
        </w:rPr>
        <w:t>X</w:t>
      </w: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7E4E4FCD" w14:textId="77777777" w:rsidR="004132D9" w:rsidRDefault="004132D9"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560277A8" w:rsidR="00BC2A20" w:rsidRDefault="00BC2A20" w:rsidP="00BC2A20">
      <w:pPr>
        <w:spacing w:after="0"/>
        <w:ind w:left="360"/>
        <w:rPr>
          <w:rFonts w:ascii="Helvetica" w:hAnsi="Helvetica" w:cs="Arial"/>
        </w:rPr>
      </w:pPr>
      <w:r w:rsidRPr="00BC2A20">
        <w:rPr>
          <w:rFonts w:ascii="Helvetica" w:hAnsi="Helvetica" w:cs="Arial"/>
          <w:u w:val="single"/>
        </w:rPr>
        <w:t xml:space="preserve">  </w:t>
      </w:r>
      <w:proofErr w:type="gramStart"/>
      <w:r w:rsidR="00465AC4">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30</w:t>
      </w:r>
      <w:proofErr w:type="gramEnd"/>
      <w:r>
        <w:rPr>
          <w:rFonts w:ascii="Helvetica" w:hAnsi="Helvetica" w:cs="Arial"/>
        </w:rPr>
        <w:t xml:space="preserve"> Minutes</w:t>
      </w:r>
      <w:r w:rsidR="00465AC4">
        <w:rPr>
          <w:rFonts w:ascii="Helvetica" w:hAnsi="Helvetica" w:cs="Arial"/>
        </w:rPr>
        <w:t xml:space="preserve"> OR</w:t>
      </w:r>
    </w:p>
    <w:p w14:paraId="486134A5" w14:textId="19E7A496" w:rsidR="00BC2A20" w:rsidRDefault="00BC2A20" w:rsidP="00BC2A20">
      <w:pPr>
        <w:spacing w:after="0"/>
        <w:ind w:left="360"/>
        <w:rPr>
          <w:rFonts w:ascii="Helvetica" w:hAnsi="Helvetica" w:cs="Arial"/>
        </w:rPr>
      </w:pPr>
      <w:r w:rsidRPr="00BC2A20">
        <w:rPr>
          <w:rFonts w:ascii="Helvetica" w:hAnsi="Helvetica" w:cs="Arial"/>
          <w:u w:val="single"/>
        </w:rPr>
        <w:t xml:space="preserve"> </w:t>
      </w:r>
      <w:proofErr w:type="gramStart"/>
      <w:r w:rsidR="00465AC4">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60</w:t>
      </w:r>
      <w:proofErr w:type="gramEnd"/>
      <w:r>
        <w:rPr>
          <w:rFonts w:ascii="Helvetica" w:hAnsi="Helvetica" w:cs="Arial"/>
        </w:rPr>
        <w:t xml:space="preserve">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EDA8B04" w14:textId="77777777" w:rsidR="00822EDA" w:rsidRPr="00473772" w:rsidRDefault="00822EDA" w:rsidP="00822EDA">
      <w:pPr>
        <w:spacing w:after="0"/>
        <w:rPr>
          <w:rFonts w:ascii="Helvetica" w:hAnsi="Helvetica" w:cs="Arial"/>
        </w:rPr>
      </w:pPr>
    </w:p>
    <w:p w14:paraId="1E026C9E" w14:textId="77777777" w:rsidR="00253F36" w:rsidRDefault="00253F36" w:rsidP="00822EDA">
      <w:pPr>
        <w:spacing w:after="0"/>
        <w:rPr>
          <w:rFonts w:ascii="Helvetica" w:hAnsi="Helvetica" w:cs="Arial"/>
        </w:rPr>
      </w:pP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542E90CF" w14:textId="735829C5"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14:paraId="30F8A486" w14:textId="77777777" w:rsidR="00253F36" w:rsidRDefault="00253F36" w:rsidP="00253F36">
      <w:pPr>
        <w:spacing w:after="0"/>
        <w:rPr>
          <w:rFonts w:ascii="Helvetica" w:hAnsi="Helvetica" w:cs="Arial"/>
        </w:rPr>
      </w:pPr>
    </w:p>
    <w:p w14:paraId="4DCC6718" w14:textId="1C344902" w:rsidR="00822EDA" w:rsidRDefault="009B6840" w:rsidP="00822EDA">
      <w:pPr>
        <w:spacing w:after="0"/>
        <w:rPr>
          <w:rFonts w:ascii="Helvetica" w:hAnsi="Helvetica" w:cs="Arial"/>
        </w:rPr>
      </w:pPr>
      <w:r>
        <w:rPr>
          <w:rFonts w:ascii="Helvetica" w:hAnsi="Helvetica" w:cs="Arial"/>
        </w:rPr>
        <w:t>I will need to use the PC to connect to the internet and YouTube, if possible.</w:t>
      </w:r>
    </w:p>
    <w:p w14:paraId="4206221E" w14:textId="77777777" w:rsidR="008510F0" w:rsidRDefault="008510F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10491020" w14:textId="528C9521" w:rsidR="002462FA" w:rsidRDefault="00465AC4" w:rsidP="00822EDA">
      <w:pPr>
        <w:spacing w:after="0"/>
        <w:rPr>
          <w:rFonts w:ascii="Helvetica" w:hAnsi="Helvetica" w:cs="Arial"/>
        </w:rPr>
      </w:pPr>
      <w:r>
        <w:rPr>
          <w:rFonts w:ascii="Helvetica" w:hAnsi="Helvetica" w:cs="Arial"/>
        </w:rPr>
        <w:t>Negotiation is a pa</w:t>
      </w:r>
      <w:r w:rsidR="00B92C00">
        <w:rPr>
          <w:rFonts w:ascii="Helvetica" w:hAnsi="Helvetica" w:cs="Arial"/>
        </w:rPr>
        <w:t>rt of every job in management.  Integrative negotiation, especially, is a problem-solving style of negotiation that is valuable across a wide range of situations.  So b</w:t>
      </w:r>
      <w:r>
        <w:rPr>
          <w:rFonts w:ascii="Helvetica" w:hAnsi="Helvetica" w:cs="Arial"/>
        </w:rPr>
        <w:t>ecoming better</w:t>
      </w:r>
      <w:r w:rsidR="00B92C00">
        <w:rPr>
          <w:rFonts w:ascii="Helvetica" w:hAnsi="Helvetica" w:cs="Arial"/>
        </w:rPr>
        <w:t xml:space="preserve"> (integrative)</w:t>
      </w:r>
      <w:r>
        <w:rPr>
          <w:rFonts w:ascii="Helvetica" w:hAnsi="Helvetica" w:cs="Arial"/>
        </w:rPr>
        <w:t xml:space="preserve"> negotiators </w:t>
      </w:r>
      <w:r w:rsidR="00B92C00">
        <w:rPr>
          <w:rFonts w:ascii="Helvetica" w:hAnsi="Helvetica" w:cs="Arial"/>
        </w:rPr>
        <w:t>can</w:t>
      </w:r>
      <w:r>
        <w:rPr>
          <w:rFonts w:ascii="Helvetica" w:hAnsi="Helvetica" w:cs="Arial"/>
        </w:rPr>
        <w:t xml:space="preserve"> improve students’ jobs, careers, and lives.</w:t>
      </w:r>
      <w:r w:rsidR="00B92C00">
        <w:rPr>
          <w:rFonts w:ascii="Helvetica" w:hAnsi="Helvetica" w:cs="Arial"/>
        </w:rPr>
        <w:t xml:space="preserve">  This session demonstrates a method to improve the integrative/problem-solving behaviors that students need to be more successful at this </w:t>
      </w:r>
      <w:proofErr w:type="gramStart"/>
      <w:r w:rsidR="00B92C00">
        <w:rPr>
          <w:rFonts w:ascii="Helvetica" w:hAnsi="Helvetica" w:cs="Arial"/>
        </w:rPr>
        <w:t>task,</w:t>
      </w:r>
      <w:proofErr w:type="gramEnd"/>
      <w:r w:rsidR="00B92C00">
        <w:rPr>
          <w:rFonts w:ascii="Helvetica" w:hAnsi="Helvetica" w:cs="Arial"/>
        </w:rPr>
        <w:t xml:space="preserve"> and at problem-solving in general.</w:t>
      </w:r>
    </w:p>
    <w:p w14:paraId="016E3516" w14:textId="77777777" w:rsidR="00F63D47" w:rsidRDefault="00F63D47" w:rsidP="00822EDA">
      <w:pPr>
        <w:spacing w:after="0"/>
        <w:rPr>
          <w:rFonts w:ascii="Helvetica" w:hAnsi="Helvetica" w:cs="Arial"/>
        </w:rPr>
      </w:pPr>
    </w:p>
    <w:p w14:paraId="5DFC6521" w14:textId="3AEF1A12" w:rsidR="002462FA" w:rsidRDefault="00F63D47" w:rsidP="00822EDA">
      <w:pPr>
        <w:spacing w:after="0"/>
        <w:rPr>
          <w:rFonts w:ascii="Helvetica" w:hAnsi="Helvetica" w:cs="Arial"/>
        </w:rPr>
      </w:pPr>
      <w:r>
        <w:rPr>
          <w:rFonts w:ascii="Helvetica" w:hAnsi="Helvetica" w:cs="Arial"/>
        </w:rPr>
        <w:t>This exercise was developed for an undergraduate negotiation course, but it could also be used in any course that incorporates negotiation or problem-solving approaches.</w:t>
      </w:r>
    </w:p>
    <w:p w14:paraId="01C7FBE9" w14:textId="77777777" w:rsidR="00F63D47" w:rsidRDefault="00F63D47" w:rsidP="00822EDA">
      <w:pPr>
        <w:spacing w:after="0"/>
        <w:rPr>
          <w:rFonts w:ascii="Helvetica" w:hAnsi="Helvetica" w:cs="Arial"/>
        </w:rPr>
      </w:pPr>
    </w:p>
    <w:p w14:paraId="7017C52D" w14:textId="030F0D74" w:rsidR="00F63D47" w:rsidRDefault="00F63D47" w:rsidP="00822EDA">
      <w:pPr>
        <w:spacing w:after="0"/>
        <w:rPr>
          <w:rFonts w:ascii="Helvetica" w:hAnsi="Helvetica" w:cs="Arial"/>
        </w:rPr>
      </w:pPr>
      <w:r>
        <w:rPr>
          <w:rFonts w:ascii="Helvetica" w:hAnsi="Helvetica" w:cs="Arial"/>
        </w:rPr>
        <w:t xml:space="preserve">Fisher and </w:t>
      </w:r>
      <w:proofErr w:type="spellStart"/>
      <w:r>
        <w:rPr>
          <w:rFonts w:ascii="Helvetica" w:hAnsi="Helvetica" w:cs="Arial"/>
        </w:rPr>
        <w:t>Ury’s</w:t>
      </w:r>
      <w:proofErr w:type="spellEnd"/>
      <w:r>
        <w:rPr>
          <w:rFonts w:ascii="Helvetica" w:hAnsi="Helvetica" w:cs="Arial"/>
        </w:rPr>
        <w:t xml:space="preserve"> </w:t>
      </w:r>
      <w:proofErr w:type="gramStart"/>
      <w:r w:rsidRPr="00F63D47">
        <w:rPr>
          <w:rFonts w:ascii="Helvetica" w:hAnsi="Helvetica" w:cs="Arial"/>
          <w:b/>
        </w:rPr>
        <w:t>Getting</w:t>
      </w:r>
      <w:proofErr w:type="gramEnd"/>
      <w:r w:rsidRPr="00F63D47">
        <w:rPr>
          <w:rFonts w:ascii="Helvetica" w:hAnsi="Helvetica" w:cs="Arial"/>
          <w:b/>
        </w:rPr>
        <w:t xml:space="preserve"> to Yes</w:t>
      </w:r>
      <w:r>
        <w:rPr>
          <w:rFonts w:ascii="Helvetica" w:hAnsi="Helvetica" w:cs="Arial"/>
        </w:rPr>
        <w:t xml:space="preserve"> and </w:t>
      </w:r>
      <w:r w:rsidRPr="00F63D47">
        <w:rPr>
          <w:rFonts w:ascii="Helvetica" w:hAnsi="Helvetica" w:cs="Arial"/>
          <w:b/>
        </w:rPr>
        <w:t>Getting Past No</w:t>
      </w:r>
      <w:r>
        <w:rPr>
          <w:rFonts w:ascii="Helvetica" w:hAnsi="Helvetica" w:cs="Arial"/>
          <w:b/>
        </w:rPr>
        <w:t xml:space="preserve"> </w:t>
      </w:r>
      <w:r w:rsidRPr="00F63D47">
        <w:rPr>
          <w:rFonts w:ascii="Helvetica" w:hAnsi="Helvetica" w:cs="Arial"/>
        </w:rPr>
        <w:t>are classic books on the subject of integrative negotiation</w:t>
      </w:r>
      <w:r>
        <w:rPr>
          <w:rFonts w:ascii="Helvetica" w:hAnsi="Helvetica" w:cs="Arial"/>
        </w:rPr>
        <w:t>.</w:t>
      </w:r>
      <w:r w:rsidR="00A9637A">
        <w:rPr>
          <w:rFonts w:ascii="Helvetica" w:hAnsi="Helvetica" w:cs="Arial"/>
        </w:rPr>
        <w:t xml:space="preserve">  See also:</w:t>
      </w:r>
      <w:bookmarkStart w:id="0" w:name="_GoBack"/>
      <w:bookmarkEnd w:id="0"/>
    </w:p>
    <w:p w14:paraId="79FBB512" w14:textId="77777777" w:rsidR="00F63D47" w:rsidRDefault="00F63D47" w:rsidP="00822EDA">
      <w:pPr>
        <w:spacing w:after="0"/>
        <w:rPr>
          <w:rFonts w:ascii="Helvetica" w:hAnsi="Helvetica" w:cs="Arial"/>
        </w:rPr>
      </w:pPr>
    </w:p>
    <w:p w14:paraId="655531A5" w14:textId="77777777" w:rsidR="00EF7E73" w:rsidRDefault="00EF7E73" w:rsidP="00EF7E73">
      <w:proofErr w:type="spellStart"/>
      <w:proofErr w:type="gramStart"/>
      <w:r>
        <w:t>Bardone</w:t>
      </w:r>
      <w:proofErr w:type="spellEnd"/>
      <w:r>
        <w:t>, R. (2000) Teaching interpersonal skills for negotiation and for life.</w:t>
      </w:r>
      <w:proofErr w:type="gramEnd"/>
      <w:r>
        <w:t xml:space="preserve"> Negotiation Journal, 16(4): 377-385.</w:t>
      </w:r>
    </w:p>
    <w:p w14:paraId="10CA7DC9" w14:textId="77777777" w:rsidR="00EF7E73" w:rsidRDefault="00EF7E73" w:rsidP="00EF7E73">
      <w:proofErr w:type="gramStart"/>
      <w:r>
        <w:t>Coleman, P. and Lim, Y. (2001).</w:t>
      </w:r>
      <w:proofErr w:type="gramEnd"/>
      <w:r>
        <w:t xml:space="preserve"> </w:t>
      </w:r>
      <w:proofErr w:type="gramStart"/>
      <w:r>
        <w:t>Systematic approach to evaluating the effects of collaborative negotiation training on individuals and groups.</w:t>
      </w:r>
      <w:proofErr w:type="gramEnd"/>
      <w:r>
        <w:t xml:space="preserve"> Negotiation Journal, 17(4): 363</w:t>
      </w:r>
    </w:p>
    <w:p w14:paraId="4863C32D" w14:textId="77777777" w:rsidR="00EF7E73" w:rsidRDefault="00EF7E73" w:rsidP="00EF7E73">
      <w:proofErr w:type="spellStart"/>
      <w:r>
        <w:t>ElShenawy</w:t>
      </w:r>
      <w:proofErr w:type="spellEnd"/>
      <w:r>
        <w:t>, E. (2008). Does negotiation training improve negotiators’ performance?  JEIT 35(3)</w:t>
      </w:r>
    </w:p>
    <w:p w14:paraId="527DC816" w14:textId="77777777" w:rsidR="00EF7E73" w:rsidRDefault="00EF7E73" w:rsidP="00EF7E73">
      <w:r>
        <w:t>Patton, B. (2009). The deceptive simplicity of teaching negotiation: Reflections on thirty years of the negotiation workshop. Negotiation Journal</w:t>
      </w:r>
    </w:p>
    <w:p w14:paraId="2E7C5B5B" w14:textId="77777777" w:rsidR="00EF7E73" w:rsidRDefault="00EF7E73" w:rsidP="00EF7E73">
      <w:proofErr w:type="spellStart"/>
      <w:r>
        <w:t>Peppet</w:t>
      </w:r>
      <w:proofErr w:type="spellEnd"/>
      <w:r>
        <w:t xml:space="preserve">, S. (2002) Teaching negotiation using web-based streaming video. </w:t>
      </w:r>
      <w:proofErr w:type="gramStart"/>
      <w:r>
        <w:t>Negotiation Journal.</w:t>
      </w:r>
      <w:proofErr w:type="gramEnd"/>
      <w:r>
        <w:t xml:space="preserve"> 18(3): 271-283</w:t>
      </w:r>
    </w:p>
    <w:p w14:paraId="359BE953" w14:textId="77777777" w:rsidR="00822EDA" w:rsidRPr="00473772" w:rsidRDefault="00822ED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lastRenderedPageBreak/>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5BF5C5E6" w14:textId="5BCA9EFF" w:rsidR="007E5C04" w:rsidRPr="00EF7E73" w:rsidRDefault="00EF7E73" w:rsidP="00EF7E73">
      <w:pPr>
        <w:spacing w:after="0"/>
        <w:rPr>
          <w:rFonts w:ascii="Helvetica" w:hAnsi="Helvetica" w:cs="Arial"/>
        </w:rPr>
      </w:pPr>
      <w:r>
        <w:rPr>
          <w:rFonts w:ascii="Helvetica" w:hAnsi="Helvetica" w:cs="Arial"/>
        </w:rPr>
        <w:t xml:space="preserve">I will start with a short introduction to distributive vs integrative negotiation, how they differ, and the types of behaviors/tactics associated with them. Then I will discuss the frustrations in trying to get students to demonstrate the more complex integrative behavior, and how the exercise changed over time to improve that goal. Next I will give out two different evaluation sheets for the participants to use to evaluate two different student self-filmed videos I will show.  Each video is approximately 5 minutes long.  </w:t>
      </w:r>
      <w:r w:rsidR="007233E5">
        <w:rPr>
          <w:rFonts w:ascii="Helvetica" w:hAnsi="Helvetica" w:cs="Arial"/>
        </w:rPr>
        <w:t xml:space="preserve">A discussion of the tactics and students’ performance will follow. </w:t>
      </w:r>
      <w:r>
        <w:rPr>
          <w:rFonts w:ascii="Helvetica" w:hAnsi="Helvetica" w:cs="Arial"/>
        </w:rPr>
        <w:t>Finally, participants will be asked for feedback and suggestions for further improvement.</w:t>
      </w: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473188C"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16538114" w14:textId="77777777" w:rsidR="00AC5E4B" w:rsidRDefault="00AC5E4B" w:rsidP="00AC5E4B">
      <w:pPr>
        <w:pStyle w:val="ListParagraph"/>
        <w:tabs>
          <w:tab w:val="left" w:pos="450"/>
        </w:tabs>
        <w:spacing w:after="0"/>
        <w:ind w:left="360"/>
        <w:rPr>
          <w:rFonts w:ascii="Helvetica" w:hAnsi="Helvetica" w:cs="Arial"/>
        </w:rPr>
      </w:pPr>
    </w:p>
    <w:p w14:paraId="4337C6F3" w14:textId="0CC21AF8" w:rsidR="00AC5E4B" w:rsidRDefault="00EF7E73" w:rsidP="00AC5E4B">
      <w:pPr>
        <w:pStyle w:val="ListParagraph"/>
        <w:tabs>
          <w:tab w:val="left" w:pos="450"/>
        </w:tabs>
        <w:spacing w:after="0"/>
        <w:ind w:left="360"/>
        <w:rPr>
          <w:rFonts w:ascii="Helvetica" w:hAnsi="Helvetica" w:cs="Arial"/>
        </w:rPr>
      </w:pPr>
      <w:r>
        <w:rPr>
          <w:rFonts w:ascii="Helvetica" w:hAnsi="Helvetica" w:cs="Arial"/>
        </w:rPr>
        <w:t xml:space="preserve">This session uses “united in service” in two ways. First, the exercise I use in class has students help each other perform better. Second, the demonstration I will do at the conference </w:t>
      </w:r>
      <w:r w:rsidR="007233E5">
        <w:rPr>
          <w:rFonts w:ascii="Helvetica" w:hAnsi="Helvetica" w:cs="Arial"/>
        </w:rPr>
        <w:t>will help me improve my work and will help teachers improve their teaching of others.</w:t>
      </w: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i/>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1DA8C30E" w14:textId="77777777" w:rsidR="007233E5" w:rsidRDefault="007233E5" w:rsidP="00AC5E4B">
      <w:pPr>
        <w:spacing w:after="0"/>
        <w:ind w:left="450"/>
        <w:rPr>
          <w:rFonts w:ascii="Helvetica" w:hAnsi="Helvetica" w:cs="Arial"/>
          <w:sz w:val="28"/>
          <w:szCs w:val="28"/>
        </w:rPr>
      </w:pPr>
    </w:p>
    <w:p w14:paraId="759B8E84" w14:textId="016C9EF3" w:rsidR="00AC5E4B" w:rsidRDefault="007233E5" w:rsidP="00AC5E4B">
      <w:pPr>
        <w:spacing w:after="0"/>
        <w:rPr>
          <w:rFonts w:ascii="Helvetica" w:hAnsi="Helvetica" w:cs="Arial"/>
        </w:rPr>
      </w:pPr>
      <w:r w:rsidRPr="007233E5">
        <w:rPr>
          <w:rFonts w:ascii="Helvetica" w:hAnsi="Helvetica" w:cs="Arial"/>
        </w:rPr>
        <w:t>I presented a very early draft of some of these ideas at a local conference.  However, I have</w:t>
      </w:r>
      <w:r>
        <w:rPr>
          <w:rFonts w:ascii="Helvetica" w:hAnsi="Helvetica" w:cs="Arial"/>
        </w:rPr>
        <w:t xml:space="preserve"> added to and</w:t>
      </w:r>
      <w:r w:rsidRPr="007233E5">
        <w:rPr>
          <w:rFonts w:ascii="Helvetica" w:hAnsi="Helvetica" w:cs="Arial"/>
        </w:rPr>
        <w:t xml:space="preserve"> improved </w:t>
      </w:r>
      <w:r>
        <w:rPr>
          <w:rFonts w:ascii="Helvetica" w:hAnsi="Helvetica" w:cs="Arial"/>
        </w:rPr>
        <w:t>the exercise, the research, and the performance greatly.  Also I have added the videos, tactics discussion, and review of student performance.</w:t>
      </w:r>
    </w:p>
    <w:p w14:paraId="3F1A8C5F" w14:textId="77777777" w:rsidR="007233E5" w:rsidRDefault="007233E5" w:rsidP="00AC5E4B">
      <w:pPr>
        <w:spacing w:after="0"/>
        <w:rPr>
          <w:rFonts w:ascii="Helvetica" w:hAnsi="Helvetica" w:cs="Arial"/>
        </w:rPr>
      </w:pPr>
    </w:p>
    <w:p w14:paraId="7887E5E9" w14:textId="108C194D" w:rsidR="007233E5" w:rsidRDefault="007233E5" w:rsidP="00AC5E4B">
      <w:pPr>
        <w:spacing w:after="0"/>
        <w:rPr>
          <w:rFonts w:ascii="Helvetica" w:hAnsi="Helvetica" w:cs="Arial"/>
        </w:rPr>
      </w:pPr>
      <w:r>
        <w:rPr>
          <w:rFonts w:ascii="Helvetica" w:hAnsi="Helvetica" w:cs="Arial"/>
        </w:rPr>
        <w:t>It is not under current review.  I want feedback to help me write this up for a journal.</w:t>
      </w:r>
    </w:p>
    <w:p w14:paraId="159BE219" w14:textId="77777777" w:rsidR="007233E5" w:rsidRDefault="007233E5" w:rsidP="00AC5E4B">
      <w:pPr>
        <w:spacing w:after="0"/>
        <w:rPr>
          <w:rFonts w:ascii="Helvetica" w:hAnsi="Helvetica" w:cs="Arial"/>
        </w:rPr>
      </w:pPr>
    </w:p>
    <w:p w14:paraId="0F8BD7F0" w14:textId="77777777" w:rsidR="007233E5" w:rsidRPr="007233E5" w:rsidRDefault="007233E5" w:rsidP="00AC5E4B">
      <w:pPr>
        <w:spacing w:after="0"/>
        <w:rPr>
          <w:rFonts w:ascii="Helvetica" w:hAnsi="Helvetica" w:cs="Arial"/>
        </w:rPr>
      </w:pP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77777777"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0DCA"/>
    <w:rsid w:val="00031599"/>
    <w:rsid w:val="00032567"/>
    <w:rsid w:val="0003644A"/>
    <w:rsid w:val="00044BC5"/>
    <w:rsid w:val="000723C4"/>
    <w:rsid w:val="000C7C05"/>
    <w:rsid w:val="000D23A1"/>
    <w:rsid w:val="0011630A"/>
    <w:rsid w:val="001409D7"/>
    <w:rsid w:val="001461AC"/>
    <w:rsid w:val="00194D8E"/>
    <w:rsid w:val="001A14A8"/>
    <w:rsid w:val="001D0A40"/>
    <w:rsid w:val="001D4230"/>
    <w:rsid w:val="002462FA"/>
    <w:rsid w:val="00253F36"/>
    <w:rsid w:val="00264BFF"/>
    <w:rsid w:val="00267C45"/>
    <w:rsid w:val="002741CB"/>
    <w:rsid w:val="002A2074"/>
    <w:rsid w:val="002B5A58"/>
    <w:rsid w:val="002F6D70"/>
    <w:rsid w:val="00322848"/>
    <w:rsid w:val="00346BB3"/>
    <w:rsid w:val="003A4D87"/>
    <w:rsid w:val="003C1558"/>
    <w:rsid w:val="003D1C53"/>
    <w:rsid w:val="004012DE"/>
    <w:rsid w:val="004132D9"/>
    <w:rsid w:val="00424AA5"/>
    <w:rsid w:val="00465AC4"/>
    <w:rsid w:val="0047001B"/>
    <w:rsid w:val="00473772"/>
    <w:rsid w:val="00473E69"/>
    <w:rsid w:val="004B0D06"/>
    <w:rsid w:val="004C55D4"/>
    <w:rsid w:val="00561CCC"/>
    <w:rsid w:val="00571AF1"/>
    <w:rsid w:val="00572854"/>
    <w:rsid w:val="005D6F6C"/>
    <w:rsid w:val="0062267A"/>
    <w:rsid w:val="00627A72"/>
    <w:rsid w:val="006B0DB0"/>
    <w:rsid w:val="006C5896"/>
    <w:rsid w:val="006E11B0"/>
    <w:rsid w:val="006F03E6"/>
    <w:rsid w:val="006F22DA"/>
    <w:rsid w:val="007233E5"/>
    <w:rsid w:val="00753C84"/>
    <w:rsid w:val="007B464C"/>
    <w:rsid w:val="007B7F99"/>
    <w:rsid w:val="007E5C04"/>
    <w:rsid w:val="008177E9"/>
    <w:rsid w:val="00822EDA"/>
    <w:rsid w:val="008510F0"/>
    <w:rsid w:val="00884654"/>
    <w:rsid w:val="008A27A4"/>
    <w:rsid w:val="008C28DB"/>
    <w:rsid w:val="008F6988"/>
    <w:rsid w:val="00914953"/>
    <w:rsid w:val="00916CF9"/>
    <w:rsid w:val="0094367F"/>
    <w:rsid w:val="009601D0"/>
    <w:rsid w:val="00967E01"/>
    <w:rsid w:val="00981FEF"/>
    <w:rsid w:val="009B6840"/>
    <w:rsid w:val="009D3C1C"/>
    <w:rsid w:val="009D5E76"/>
    <w:rsid w:val="00A01280"/>
    <w:rsid w:val="00A1258A"/>
    <w:rsid w:val="00A913B6"/>
    <w:rsid w:val="00A9637A"/>
    <w:rsid w:val="00A97DC3"/>
    <w:rsid w:val="00AB1BA3"/>
    <w:rsid w:val="00AB2890"/>
    <w:rsid w:val="00AC5E4B"/>
    <w:rsid w:val="00AD2CC9"/>
    <w:rsid w:val="00AE5F09"/>
    <w:rsid w:val="00AF7378"/>
    <w:rsid w:val="00B02BF3"/>
    <w:rsid w:val="00B816B3"/>
    <w:rsid w:val="00B92C00"/>
    <w:rsid w:val="00B95FB2"/>
    <w:rsid w:val="00BC2A20"/>
    <w:rsid w:val="00BC34A1"/>
    <w:rsid w:val="00BD7126"/>
    <w:rsid w:val="00C33DED"/>
    <w:rsid w:val="00C37D65"/>
    <w:rsid w:val="00C94695"/>
    <w:rsid w:val="00CD7EF8"/>
    <w:rsid w:val="00CE363A"/>
    <w:rsid w:val="00CE74EF"/>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86BCA"/>
    <w:rsid w:val="00EB7E25"/>
    <w:rsid w:val="00EE5F18"/>
    <w:rsid w:val="00EF7E73"/>
    <w:rsid w:val="00F10CCB"/>
    <w:rsid w:val="00F17027"/>
    <w:rsid w:val="00F315CF"/>
    <w:rsid w:val="00F33555"/>
    <w:rsid w:val="00F631B6"/>
    <w:rsid w:val="00F63D47"/>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Dr. Monika Renard</cp:lastModifiedBy>
  <cp:revision>3</cp:revision>
  <cp:lastPrinted>2014-10-14T19:42:00Z</cp:lastPrinted>
  <dcterms:created xsi:type="dcterms:W3CDTF">2016-01-19T06:58:00Z</dcterms:created>
  <dcterms:modified xsi:type="dcterms:W3CDTF">2016-01-19T06:58:00Z</dcterms:modified>
</cp:coreProperties>
</file>