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bookmarkStart w:id="0" w:name="_GoBack"/>
      <w:bookmarkEnd w:id="0"/>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2562498" cy="257076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7777777" w:rsidR="006B0DB0" w:rsidRDefault="00A01280" w:rsidP="00755713">
      <w:pPr>
        <w:spacing w:after="0"/>
        <w:jc w:val="center"/>
        <w:outlineLvl w:val="0"/>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161E2F8E" w14:textId="77777777" w:rsidR="00A01280" w:rsidRPr="00A01280" w:rsidRDefault="00A01280" w:rsidP="00755713">
      <w:pPr>
        <w:spacing w:after="0"/>
        <w:jc w:val="center"/>
        <w:outlineLvl w:val="0"/>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755713">
      <w:pPr>
        <w:spacing w:after="0"/>
        <w:jc w:val="center"/>
        <w:outlineLvl w:val="0"/>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755713">
      <w:pPr>
        <w:spacing w:after="0"/>
        <w:jc w:val="center"/>
        <w:outlineLvl w:val="0"/>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19F3CEF3" w:rsidR="00A01280" w:rsidRPr="00A01280" w:rsidRDefault="00A01280" w:rsidP="00031599">
            <w:pPr>
              <w:spacing w:after="0"/>
              <w:jc w:val="center"/>
              <w:rPr>
                <w:rFonts w:ascii="Helvetica" w:hAnsi="Helvetica" w:cs="Arial"/>
                <w:color w:val="EE251B"/>
              </w:rPr>
            </w:pPr>
            <w:r w:rsidRPr="00E00D30">
              <w:rPr>
                <w:rFonts w:ascii="Helvetica" w:hAnsi="Helvetica" w:cs="Arial"/>
                <w:b/>
                <w:color w:val="EE251B"/>
                <w:sz w:val="28"/>
                <w:szCs w:val="28"/>
              </w:rPr>
              <w:t>201</w:t>
            </w:r>
            <w:r w:rsidR="00031599">
              <w:rPr>
                <w:rFonts w:ascii="Helvetica" w:hAnsi="Helvetica" w:cs="Arial"/>
                <w:b/>
                <w:color w:val="EE251B"/>
                <w:sz w:val="28"/>
                <w:szCs w:val="28"/>
              </w:rPr>
              <w:t>6</w:t>
            </w:r>
            <w:r w:rsidRPr="00E00D30">
              <w:rPr>
                <w:rFonts w:ascii="Helvetica" w:hAnsi="Helvetica" w:cs="Arial"/>
                <w:b/>
                <w:color w:val="EE251B"/>
                <w:sz w:val="28"/>
                <w:szCs w:val="28"/>
              </w:rPr>
              <w:t xml:space="preserve"> 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063A72DC" w14:textId="161034F5"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B6DF23D" w14:textId="77777777" w:rsidR="00031599" w:rsidRDefault="00031599" w:rsidP="00031599">
      <w:pPr>
        <w:spacing w:after="0"/>
        <w:rPr>
          <w:rFonts w:ascii="Helvetica" w:hAnsi="Helvetica" w:cs="Arial"/>
          <w:i/>
        </w:rPr>
      </w:pPr>
    </w:p>
    <w:p w14:paraId="1B7D04C8" w14:textId="04CA722F" w:rsidR="00031599" w:rsidRPr="0036624D" w:rsidRDefault="00C55364" w:rsidP="00755713">
      <w:pPr>
        <w:spacing w:after="0"/>
        <w:outlineLvl w:val="0"/>
        <w:rPr>
          <w:rFonts w:ascii="Helvetica" w:hAnsi="Helvetica" w:cs="Arial"/>
          <w:b/>
        </w:rPr>
      </w:pPr>
      <w:r w:rsidRPr="0036624D">
        <w:rPr>
          <w:rFonts w:ascii="Helvetica" w:hAnsi="Helvetica" w:cs="Arial"/>
          <w:b/>
        </w:rPr>
        <w:t>Changing Employers at Mid-Career: Thoughts to Ponder Before Making the Jump</w:t>
      </w:r>
    </w:p>
    <w:p w14:paraId="1C6C82EF" w14:textId="31C7B4DE" w:rsidR="00BC2A20" w:rsidRDefault="00BC2A20">
      <w:pPr>
        <w:spacing w:after="0" w:line="240" w:lineRule="auto"/>
        <w:rPr>
          <w:rFonts w:ascii="Helvetica" w:hAnsi="Helvetica" w:cs="Arial"/>
        </w:rPr>
      </w:pPr>
    </w:p>
    <w:p w14:paraId="12B2EA72" w14:textId="77777777" w:rsidR="0036624D" w:rsidRDefault="0036624D" w:rsidP="0036624D">
      <w:pPr>
        <w:spacing w:after="0"/>
        <w:rPr>
          <w:rFonts w:ascii="Helvetica" w:hAnsi="Helvetica" w:cs="Arial"/>
        </w:rPr>
      </w:pPr>
      <w:r>
        <w:rPr>
          <w:rFonts w:ascii="Helvetica" w:hAnsi="Helvetica" w:cs="Arial"/>
        </w:rPr>
        <w:t>In this session, two mid-career OBTCers who recently changed employers share their experiences and provide tools and resources to those pondering a similar change.  This session will look at what brings about a job change at mid-career, things to consider before changing employers, the mid-career job search process, and first year experiences in your new role.  Due to the sensitive nature of this session, we ask all session participants to abide by Las Vegas rules – who comes to and what happens in this session, stays in this session! Come and explore the possibilities.</w:t>
      </w:r>
    </w:p>
    <w:p w14:paraId="74D8CE69" w14:textId="77777777" w:rsidR="0036624D" w:rsidRDefault="0036624D" w:rsidP="0036624D">
      <w:pPr>
        <w:spacing w:after="0"/>
        <w:rPr>
          <w:rFonts w:ascii="Helvetica" w:hAnsi="Helvetica" w:cs="Arial"/>
        </w:rPr>
      </w:pPr>
    </w:p>
    <w:p w14:paraId="4D3DBCF7" w14:textId="7ABF786A" w:rsidR="00F17027" w:rsidRDefault="00DF66B7" w:rsidP="00755713">
      <w:pPr>
        <w:spacing w:after="0"/>
        <w:outlineLvl w:val="0"/>
        <w:rPr>
          <w:rFonts w:ascii="Helvetica" w:hAnsi="Helvetica" w:cs="Arial"/>
        </w:rPr>
      </w:pPr>
      <w:r>
        <w:rPr>
          <w:rFonts w:ascii="Helvetica" w:hAnsi="Helvetica" w:cs="Arial"/>
        </w:rPr>
        <w:t>Keywords: Job change, culture, self-awareness</w:t>
      </w:r>
    </w:p>
    <w:p w14:paraId="54872825" w14:textId="77777777" w:rsidR="00F17027" w:rsidRDefault="00F17027">
      <w:pPr>
        <w:spacing w:after="0" w:line="240" w:lineRule="auto"/>
        <w:rPr>
          <w:rFonts w:ascii="Helvetica" w:hAnsi="Helvetica" w:cs="Arial"/>
        </w:rPr>
      </w:pP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02340AAC" w14:textId="68234578"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218A0D47" w14:textId="6CE28437"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sidR="00C55364">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482C1764" w14:textId="77777777" w:rsidR="002F6D70" w:rsidRDefault="002F6D70" w:rsidP="00D92A68">
      <w:pPr>
        <w:spacing w:after="0"/>
        <w:rPr>
          <w:rFonts w:ascii="Helvetica" w:hAnsi="Helvetica" w:cs="Arial"/>
        </w:rPr>
      </w:pP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r w:rsidR="00A1258A" w:rsidRPr="001D4230">
        <w:rPr>
          <w:rFonts w:ascii="Helvetica" w:hAnsi="Helvetica" w:cs="Arial"/>
          <w:sz w:val="28"/>
          <w:szCs w:val="28"/>
        </w:rPr>
        <w:t>For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25F2D045"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3CB2995A"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r w:rsidR="00A1258A" w:rsidRPr="001D4230">
        <w:rPr>
          <w:rFonts w:ascii="Helvetica" w:hAnsi="Helvetica" w:cs="Arial"/>
          <w:sz w:val="28"/>
          <w:szCs w:val="28"/>
        </w:rPr>
        <w:t>For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D62CB63" w14:textId="77777777"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41DA0360" w14:textId="77777777" w:rsidR="009601D0" w:rsidRDefault="009601D0" w:rsidP="007B7F99">
      <w:pPr>
        <w:pStyle w:val="ListParagraph"/>
        <w:spacing w:after="0"/>
        <w:ind w:left="360"/>
        <w:rPr>
          <w:rFonts w:ascii="Helvetica" w:hAnsi="Helvetica" w:cs="Arial"/>
          <w:b/>
          <w:sz w:val="28"/>
          <w:szCs w:val="28"/>
        </w:rPr>
      </w:pPr>
    </w:p>
    <w:p w14:paraId="7E4E4FCD" w14:textId="77777777" w:rsidR="004132D9" w:rsidRDefault="004132D9" w:rsidP="007B7F99">
      <w:pPr>
        <w:pStyle w:val="ListParagraph"/>
        <w:spacing w:after="0"/>
        <w:ind w:left="360"/>
        <w:rPr>
          <w:rFonts w:ascii="Helvetica" w:hAnsi="Helvetica" w:cs="Arial"/>
          <w:b/>
          <w:sz w:val="28"/>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486134A5" w14:textId="0A92E62B" w:rsidR="00BC2A20" w:rsidRDefault="00C55364" w:rsidP="00BC2A20">
      <w:pPr>
        <w:spacing w:after="0"/>
        <w:ind w:left="360"/>
        <w:rPr>
          <w:rFonts w:ascii="Helvetica" w:hAnsi="Helvetica" w:cs="Arial"/>
        </w:rPr>
      </w:pPr>
      <w:r>
        <w:rPr>
          <w:rFonts w:ascii="Helvetica" w:hAnsi="Helvetica" w:cs="Arial"/>
          <w:u w:val="single"/>
        </w:rPr>
        <w:t xml:space="preserve"> </w:t>
      </w:r>
      <w:r w:rsidR="00BC2A20" w:rsidRPr="00BC2A20">
        <w:rPr>
          <w:rFonts w:ascii="Helvetica" w:hAnsi="Helvetica" w:cs="Arial"/>
          <w:u w:val="single"/>
        </w:rPr>
        <w:t xml:space="preserve"> </w:t>
      </w:r>
      <w:r>
        <w:rPr>
          <w:rFonts w:ascii="Helvetica" w:hAnsi="Helvetica" w:cs="Arial"/>
          <w:u w:val="single"/>
        </w:rPr>
        <w:t>X</w:t>
      </w:r>
      <w:r w:rsidR="00BC2A20" w:rsidRPr="00BC2A20">
        <w:rPr>
          <w:rFonts w:ascii="Helvetica" w:hAnsi="Helvetica" w:cs="Arial"/>
          <w:u w:val="single"/>
        </w:rPr>
        <w:t xml:space="preserve">  </w:t>
      </w:r>
      <w:r w:rsidR="00BC2A20">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42D747C" w14:textId="77777777"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5E0DA32B"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Planning Details:</w:t>
      </w:r>
    </w:p>
    <w:p w14:paraId="542E90CF" w14:textId="735829C5" w:rsidR="006F22DA" w:rsidRPr="006F22DA" w:rsidRDefault="006F22DA" w:rsidP="006F22DA">
      <w:pPr>
        <w:pStyle w:val="ListParagraph"/>
        <w:spacing w:after="0"/>
        <w:ind w:left="360"/>
        <w:rPr>
          <w:rFonts w:ascii="Helvetica" w:hAnsi="Helvetica" w:cs="Arial"/>
          <w:i/>
        </w:rPr>
      </w:pPr>
      <w:r>
        <w:rPr>
          <w:rFonts w:ascii="Helvetica" w:hAnsi="Helvetica" w:cs="Arial"/>
          <w:i/>
        </w:rPr>
        <w:t>Each room contain</w:t>
      </w:r>
      <w:r w:rsidR="00CE363A">
        <w:rPr>
          <w:rFonts w:ascii="Helvetica" w:hAnsi="Helvetica" w:cs="Arial"/>
          <w:i/>
        </w:rPr>
        <w:t>s</w:t>
      </w:r>
      <w:r>
        <w:rPr>
          <w:rFonts w:ascii="Helvetica" w:hAnsi="Helvetica" w:cs="Arial"/>
          <w:i/>
        </w:rPr>
        <w:t xml:space="preserve"> a </w:t>
      </w:r>
      <w:r w:rsidR="008C28DB">
        <w:rPr>
          <w:rFonts w:ascii="Helvetica" w:hAnsi="Helvetica" w:cs="Arial"/>
          <w:i/>
        </w:rPr>
        <w:t>white board with markers, computer (PC) with DVD capability and computer projector.</w:t>
      </w:r>
      <w:r w:rsidR="00E32A28">
        <w:rPr>
          <w:rFonts w:ascii="Helvetica" w:hAnsi="Helvetica" w:cs="Arial"/>
          <w:i/>
        </w:rPr>
        <w:t xml:space="preserve"> </w:t>
      </w:r>
      <w:r w:rsidRPr="006F22DA">
        <w:rPr>
          <w:rFonts w:ascii="Helvetica" w:hAnsi="Helvetica" w:cs="Arial"/>
          <w:i/>
        </w:rPr>
        <w:t xml:space="preserve">Does your session </w:t>
      </w:r>
      <w:r w:rsidR="008C28DB">
        <w:rPr>
          <w:rFonts w:ascii="Helvetica" w:hAnsi="Helvetica" w:cs="Arial"/>
          <w:i/>
        </w:rPr>
        <w:t>require any other equipment?</w:t>
      </w:r>
    </w:p>
    <w:p w14:paraId="30F8A486" w14:textId="77777777" w:rsidR="00253F36" w:rsidRDefault="00253F36" w:rsidP="00253F36">
      <w:pPr>
        <w:spacing w:after="0"/>
        <w:rPr>
          <w:rFonts w:ascii="Helvetica" w:hAnsi="Helvetica" w:cs="Arial"/>
        </w:rPr>
      </w:pPr>
    </w:p>
    <w:p w14:paraId="4DCC6718" w14:textId="7C7E19F6" w:rsidR="00822EDA" w:rsidRDefault="00C55364" w:rsidP="00755713">
      <w:pPr>
        <w:spacing w:after="0"/>
        <w:ind w:left="360"/>
        <w:outlineLvl w:val="0"/>
        <w:rPr>
          <w:rFonts w:ascii="Helvetica" w:hAnsi="Helvetica" w:cs="Arial"/>
        </w:rPr>
      </w:pPr>
      <w:r>
        <w:rPr>
          <w:rFonts w:ascii="Helvetica" w:hAnsi="Helvetica" w:cs="Arial"/>
        </w:rPr>
        <w:lastRenderedPageBreak/>
        <w:t>Our session does not need any other equipment</w:t>
      </w:r>
      <w:r w:rsidR="0047407E">
        <w:rPr>
          <w:rFonts w:ascii="Helvetica" w:hAnsi="Helvetica" w:cs="Arial"/>
        </w:rPr>
        <w:t xml:space="preserve"> than the items noted above</w:t>
      </w:r>
      <w:r>
        <w:rPr>
          <w:rFonts w:ascii="Helvetica" w:hAnsi="Helvetica" w:cs="Arial"/>
        </w:rPr>
        <w:t xml:space="preserve">. </w:t>
      </w:r>
    </w:p>
    <w:p w14:paraId="4206221E" w14:textId="77777777" w:rsidR="008510F0" w:rsidRDefault="008510F0" w:rsidP="00822EDA">
      <w:pPr>
        <w:spacing w:after="0"/>
        <w:rPr>
          <w:rFonts w:ascii="Helvetica" w:hAnsi="Helvetica" w:cs="Arial"/>
        </w:rPr>
      </w:pPr>
    </w:p>
    <w:p w14:paraId="00579DC3" w14:textId="77777777" w:rsidR="008510F0" w:rsidRDefault="008510F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5A4F9852" w14:textId="1DB00E11" w:rsidR="00144D43" w:rsidRPr="008328A3" w:rsidRDefault="000028F5" w:rsidP="000028F5">
      <w:pPr>
        <w:spacing w:after="0"/>
        <w:rPr>
          <w:rFonts w:ascii="Arial" w:eastAsiaTheme="minorEastAsia" w:hAnsi="Arial" w:cs="Arial"/>
          <w:bCs/>
        </w:rPr>
      </w:pPr>
      <w:r w:rsidRPr="008328A3">
        <w:rPr>
          <w:rFonts w:ascii="Arial" w:hAnsi="Arial" w:cs="Arial"/>
        </w:rPr>
        <w:t xml:space="preserve">A 2012 survey of full-time faculty found 65% of the full time faculty surveyed have considered leaving their institution, with 78% of these potential job changers saying they would leave </w:t>
      </w:r>
      <w:r w:rsidR="002860A9" w:rsidRPr="008328A3">
        <w:rPr>
          <w:rFonts w:ascii="Arial" w:hAnsi="Arial" w:cs="Arial"/>
        </w:rPr>
        <w:t>their</w:t>
      </w:r>
      <w:r w:rsidRPr="008328A3">
        <w:rPr>
          <w:rFonts w:ascii="Arial" w:hAnsi="Arial" w:cs="Arial"/>
        </w:rPr>
        <w:t xml:space="preserve"> institution to find a more supportive job environment </w:t>
      </w:r>
      <w:r w:rsidR="00BF5555" w:rsidRPr="008328A3">
        <w:rPr>
          <w:rFonts w:ascii="Arial" w:hAnsi="Arial" w:cs="Arial"/>
        </w:rPr>
        <w:t>(English &amp; Avakian</w:t>
      </w:r>
      <w:r w:rsidRPr="008328A3">
        <w:rPr>
          <w:rFonts w:ascii="Arial" w:hAnsi="Arial" w:cs="Arial"/>
        </w:rPr>
        <w:t xml:space="preserve">, 2012). </w:t>
      </w:r>
      <w:r w:rsidR="00D33153" w:rsidRPr="008328A3">
        <w:rPr>
          <w:rFonts w:ascii="Arial" w:eastAsiaTheme="minorEastAsia" w:hAnsi="Arial" w:cs="Arial"/>
          <w:bCs/>
        </w:rPr>
        <w:t>Changes in employment</w:t>
      </w:r>
      <w:r w:rsidR="0081491E" w:rsidRPr="008328A3">
        <w:rPr>
          <w:rFonts w:ascii="Arial" w:eastAsiaTheme="minorEastAsia" w:hAnsi="Arial" w:cs="Arial"/>
          <w:bCs/>
        </w:rPr>
        <w:t xml:space="preserve"> can be good because it provides individuals with greater opportunities for professional development and career renewal, but </w:t>
      </w:r>
      <w:r w:rsidR="004866D1" w:rsidRPr="008328A3">
        <w:rPr>
          <w:rFonts w:ascii="Arial" w:eastAsiaTheme="minorEastAsia" w:hAnsi="Arial" w:cs="Arial"/>
          <w:bCs/>
        </w:rPr>
        <w:t xml:space="preserve">the structure of higher education and tenure </w:t>
      </w:r>
      <w:r w:rsidR="00D33153" w:rsidRPr="008328A3">
        <w:rPr>
          <w:rFonts w:ascii="Arial" w:eastAsiaTheme="minorEastAsia" w:hAnsi="Arial" w:cs="Arial"/>
          <w:bCs/>
        </w:rPr>
        <w:t xml:space="preserve">systems </w:t>
      </w:r>
      <w:r w:rsidR="004866D1" w:rsidRPr="008328A3">
        <w:rPr>
          <w:rFonts w:ascii="Arial" w:eastAsiaTheme="minorEastAsia" w:hAnsi="Arial" w:cs="Arial"/>
          <w:bCs/>
        </w:rPr>
        <w:t>may prevent many faculty from leaving their positions due to the perceived increased risk</w:t>
      </w:r>
      <w:r w:rsidR="0081491E" w:rsidRPr="008328A3">
        <w:rPr>
          <w:rFonts w:ascii="Arial" w:eastAsiaTheme="minorEastAsia" w:hAnsi="Arial" w:cs="Arial"/>
          <w:bCs/>
        </w:rPr>
        <w:t xml:space="preserve"> of giving up a tenured or long-term secure position espec</w:t>
      </w:r>
      <w:r w:rsidR="00144D43" w:rsidRPr="008328A3">
        <w:rPr>
          <w:rFonts w:ascii="Arial" w:hAnsi="Arial" w:cs="Arial"/>
        </w:rPr>
        <w:t>ially at mid or late career</w:t>
      </w:r>
      <w:r w:rsidR="0081491E" w:rsidRPr="008328A3">
        <w:rPr>
          <w:rFonts w:ascii="Arial" w:hAnsi="Arial" w:cs="Arial"/>
        </w:rPr>
        <w:t xml:space="preserve"> (</w:t>
      </w:r>
      <w:r w:rsidR="0081491E" w:rsidRPr="008328A3">
        <w:rPr>
          <w:rFonts w:ascii="Arial" w:eastAsiaTheme="minorEastAsia" w:hAnsi="Arial" w:cs="Arial"/>
        </w:rPr>
        <w:t>Zhou &amp; Volkwein, 2004)</w:t>
      </w:r>
      <w:r w:rsidR="00144D43" w:rsidRPr="008328A3">
        <w:rPr>
          <w:rFonts w:ascii="Arial" w:hAnsi="Arial" w:cs="Arial"/>
        </w:rPr>
        <w:t xml:space="preserve">. </w:t>
      </w:r>
      <w:r w:rsidR="00144D43" w:rsidRPr="008328A3">
        <w:rPr>
          <w:rFonts w:ascii="Arial" w:eastAsiaTheme="minorEastAsia" w:hAnsi="Arial" w:cs="Arial"/>
          <w:bCs/>
        </w:rPr>
        <w:t>Among the faculty who left their positions for nonretirement reasons in 1998, less than 14% were tenured (NCES, 2001).</w:t>
      </w:r>
      <w:r w:rsidR="0081491E" w:rsidRPr="008328A3">
        <w:rPr>
          <w:rFonts w:ascii="Arial" w:eastAsiaTheme="minorEastAsia" w:hAnsi="Arial" w:cs="Arial"/>
          <w:bCs/>
        </w:rPr>
        <w:t xml:space="preserve"> </w:t>
      </w:r>
      <w:r w:rsidR="00D33153" w:rsidRPr="008328A3">
        <w:rPr>
          <w:rFonts w:ascii="Arial" w:eastAsiaTheme="minorEastAsia" w:hAnsi="Arial" w:cs="Arial"/>
          <w:bCs/>
        </w:rPr>
        <w:t>The goal of this session is to provide attendees w</w:t>
      </w:r>
      <w:r w:rsidR="0081491E" w:rsidRPr="008328A3">
        <w:rPr>
          <w:rFonts w:ascii="Arial" w:eastAsiaTheme="minorEastAsia" w:hAnsi="Arial" w:cs="Arial"/>
          <w:bCs/>
        </w:rPr>
        <w:t>ho are contemplating leaving their curre</w:t>
      </w:r>
      <w:r w:rsidR="00D33153" w:rsidRPr="008328A3">
        <w:rPr>
          <w:rFonts w:ascii="Arial" w:eastAsiaTheme="minorEastAsia" w:hAnsi="Arial" w:cs="Arial"/>
          <w:bCs/>
        </w:rPr>
        <w:t>nt institution with information and</w:t>
      </w:r>
      <w:r w:rsidR="0081491E" w:rsidRPr="008328A3">
        <w:rPr>
          <w:rFonts w:ascii="Arial" w:eastAsiaTheme="minorEastAsia" w:hAnsi="Arial" w:cs="Arial"/>
          <w:bCs/>
        </w:rPr>
        <w:t xml:space="preserve"> tools</w:t>
      </w:r>
      <w:r w:rsidR="00D33153" w:rsidRPr="008328A3">
        <w:rPr>
          <w:rFonts w:ascii="Arial" w:eastAsiaTheme="minorEastAsia" w:hAnsi="Arial" w:cs="Arial"/>
          <w:bCs/>
        </w:rPr>
        <w:t xml:space="preserve"> to use when contemplating a change and share experiences</w:t>
      </w:r>
      <w:r w:rsidR="004866D1" w:rsidRPr="008328A3">
        <w:rPr>
          <w:rFonts w:ascii="Arial" w:eastAsiaTheme="minorEastAsia" w:hAnsi="Arial" w:cs="Arial"/>
          <w:bCs/>
        </w:rPr>
        <w:t xml:space="preserve"> from those who have changed institutions at mid-career. </w:t>
      </w:r>
      <w:r w:rsidR="0081491E" w:rsidRPr="008328A3">
        <w:rPr>
          <w:rFonts w:ascii="Arial" w:eastAsiaTheme="minorEastAsia" w:hAnsi="Arial" w:cs="Arial"/>
          <w:bCs/>
        </w:rPr>
        <w:t xml:space="preserve"> </w:t>
      </w:r>
    </w:p>
    <w:p w14:paraId="41C785D1" w14:textId="77777777" w:rsidR="00144D43" w:rsidRPr="008328A3" w:rsidRDefault="00144D43" w:rsidP="000028F5">
      <w:pPr>
        <w:spacing w:after="0"/>
        <w:rPr>
          <w:rFonts w:ascii="Arial" w:eastAsiaTheme="minorEastAsia" w:hAnsi="Arial" w:cs="Arial"/>
          <w:bCs/>
        </w:rPr>
      </w:pPr>
    </w:p>
    <w:p w14:paraId="5FDCBF11" w14:textId="42336D60" w:rsidR="000938FD" w:rsidRPr="008328A3" w:rsidRDefault="00266E86" w:rsidP="00DD0299">
      <w:pPr>
        <w:spacing w:after="0"/>
        <w:rPr>
          <w:rFonts w:ascii="Arial" w:hAnsi="Arial" w:cs="Arial"/>
          <w:iCs/>
        </w:rPr>
      </w:pPr>
      <w:r w:rsidRPr="008328A3">
        <w:rPr>
          <w:rFonts w:ascii="Arial" w:hAnsi="Arial" w:cs="Arial"/>
        </w:rPr>
        <w:t xml:space="preserve">Career theorists </w:t>
      </w:r>
      <w:r w:rsidR="00525172" w:rsidRPr="008328A3">
        <w:rPr>
          <w:rFonts w:ascii="Arial" w:hAnsi="Arial" w:cs="Arial"/>
        </w:rPr>
        <w:t xml:space="preserve">(Engels, 1995; </w:t>
      </w:r>
      <w:r w:rsidR="00A40FC2" w:rsidRPr="008328A3">
        <w:rPr>
          <w:rFonts w:ascii="Arial" w:hAnsi="Arial" w:cs="Arial"/>
        </w:rPr>
        <w:t>Super,</w:t>
      </w:r>
      <w:r w:rsidR="00A40FC2">
        <w:rPr>
          <w:rFonts w:ascii="Arial" w:hAnsi="Arial" w:cs="Arial"/>
        </w:rPr>
        <w:t xml:space="preserve"> Savickas &amp; Super, 1996</w:t>
      </w:r>
      <w:r w:rsidR="00525172" w:rsidRPr="008328A3">
        <w:rPr>
          <w:rFonts w:ascii="Arial" w:hAnsi="Arial" w:cs="Arial"/>
        </w:rPr>
        <w:t xml:space="preserve">) </w:t>
      </w:r>
      <w:r w:rsidRPr="008328A3">
        <w:rPr>
          <w:rFonts w:ascii="Arial" w:hAnsi="Arial" w:cs="Arial"/>
        </w:rPr>
        <w:t>suggest a common practice among middle-age individuals, defined as the ages of 35 to 65 years, is midlife renewal during which individuals take stock of themselves and reevaluate where they are going and what they are doing with their lives.</w:t>
      </w:r>
      <w:r w:rsidR="00DD0299" w:rsidRPr="008328A3">
        <w:rPr>
          <w:rFonts w:ascii="Arial" w:hAnsi="Arial" w:cs="Arial"/>
        </w:rPr>
        <w:t xml:space="preserve"> Vander Zanden (2000) calls midlife "a time of looking back and at the same time looking forward" (p. 488). Power and Rothausen</w:t>
      </w:r>
      <w:r w:rsidR="00525172" w:rsidRPr="008328A3">
        <w:rPr>
          <w:rFonts w:ascii="Arial" w:hAnsi="Arial" w:cs="Arial"/>
        </w:rPr>
        <w:t>’s</w:t>
      </w:r>
      <w:r w:rsidR="00DD0299" w:rsidRPr="008328A3">
        <w:rPr>
          <w:rFonts w:ascii="Arial" w:hAnsi="Arial" w:cs="Arial"/>
        </w:rPr>
        <w:t xml:space="preserve"> (2003) Midcareer Development Model</w:t>
      </w:r>
      <w:r w:rsidR="00525172" w:rsidRPr="008328A3">
        <w:rPr>
          <w:rFonts w:ascii="Arial" w:hAnsi="Arial" w:cs="Arial"/>
        </w:rPr>
        <w:t xml:space="preserve"> suggests a</w:t>
      </w:r>
      <w:r w:rsidR="00DD0299" w:rsidRPr="008328A3">
        <w:rPr>
          <w:rFonts w:ascii="Arial" w:hAnsi="Arial" w:cs="Arial"/>
        </w:rPr>
        <w:t xml:space="preserve">s a result of reflective life assessment, an individual may decide to </w:t>
      </w:r>
      <w:r w:rsidR="00525172" w:rsidRPr="008328A3">
        <w:rPr>
          <w:rFonts w:ascii="Arial" w:hAnsi="Arial" w:cs="Arial"/>
        </w:rPr>
        <w:t xml:space="preserve">make a voluntary career change as </w:t>
      </w:r>
      <w:r w:rsidR="00DD0299" w:rsidRPr="008328A3">
        <w:rPr>
          <w:rFonts w:ascii="Arial" w:hAnsi="Arial" w:cs="Arial"/>
        </w:rPr>
        <w:t>some find that the origin</w:t>
      </w:r>
      <w:r w:rsidR="00525172" w:rsidRPr="008328A3">
        <w:rPr>
          <w:rFonts w:ascii="Arial" w:hAnsi="Arial" w:cs="Arial"/>
        </w:rPr>
        <w:t>al reasons for their choices are</w:t>
      </w:r>
      <w:r w:rsidR="00DD0299" w:rsidRPr="008328A3">
        <w:rPr>
          <w:rFonts w:ascii="Arial" w:hAnsi="Arial" w:cs="Arial"/>
        </w:rPr>
        <w:t xml:space="preserve"> no longer valid</w:t>
      </w:r>
      <w:r w:rsidR="00525172" w:rsidRPr="008328A3">
        <w:rPr>
          <w:rFonts w:ascii="Arial" w:hAnsi="Arial" w:cs="Arial"/>
        </w:rPr>
        <w:t xml:space="preserve"> (Barclay, Stoltz &amp; Chung, 2010).  </w:t>
      </w:r>
      <w:r w:rsidR="00C16D93" w:rsidRPr="008328A3">
        <w:rPr>
          <w:rFonts w:ascii="Arial" w:hAnsi="Arial" w:cs="Arial"/>
        </w:rPr>
        <w:t>Although research on mid-life career changes has increased (Maddox-Daines, 2016; B</w:t>
      </w:r>
      <w:r w:rsidR="00C16D93" w:rsidRPr="008328A3">
        <w:rPr>
          <w:rFonts w:ascii="Arial" w:hAnsi="Arial" w:cs="Arial"/>
          <w:iCs/>
        </w:rPr>
        <w:t xml:space="preserve">imrose, Barabasch, Brown &amp; Mulvey, 2015), the unique environment of higher education makes job changes for </w:t>
      </w:r>
      <w:r w:rsidR="000938FD" w:rsidRPr="008328A3">
        <w:rPr>
          <w:rFonts w:ascii="Arial" w:hAnsi="Arial" w:cs="Arial"/>
          <w:iCs/>
        </w:rPr>
        <w:t>mid-career</w:t>
      </w:r>
      <w:r w:rsidR="00C16D93" w:rsidRPr="008328A3">
        <w:rPr>
          <w:rFonts w:ascii="Arial" w:hAnsi="Arial" w:cs="Arial"/>
          <w:iCs/>
        </w:rPr>
        <w:t xml:space="preserve"> faculty unique and particularly challenging as faculty may be giving up the security of tenure </w:t>
      </w:r>
      <w:r w:rsidR="000938FD" w:rsidRPr="008328A3">
        <w:rPr>
          <w:rFonts w:ascii="Arial" w:hAnsi="Arial" w:cs="Arial"/>
          <w:iCs/>
        </w:rPr>
        <w:t xml:space="preserve">or a long-term contract </w:t>
      </w:r>
      <w:r w:rsidR="00C16D93" w:rsidRPr="008328A3">
        <w:rPr>
          <w:rFonts w:ascii="Arial" w:hAnsi="Arial" w:cs="Arial"/>
          <w:iCs/>
        </w:rPr>
        <w:t xml:space="preserve">if they change employers.  </w:t>
      </w:r>
      <w:r w:rsidR="000938FD" w:rsidRPr="008328A3">
        <w:rPr>
          <w:rFonts w:ascii="Arial" w:hAnsi="Arial" w:cs="Arial"/>
          <w:iCs/>
        </w:rPr>
        <w:t xml:space="preserve">This session will provide tools to guide </w:t>
      </w:r>
      <w:r w:rsidR="00A40FC2">
        <w:rPr>
          <w:rFonts w:ascii="Arial" w:hAnsi="Arial" w:cs="Arial"/>
          <w:iCs/>
        </w:rPr>
        <w:t xml:space="preserve">higher education faculty </w:t>
      </w:r>
      <w:r w:rsidR="000938FD" w:rsidRPr="008328A3">
        <w:rPr>
          <w:rFonts w:ascii="Arial" w:hAnsi="Arial" w:cs="Arial"/>
          <w:iCs/>
        </w:rPr>
        <w:t xml:space="preserve">through the renewal process and give participants alternatives to explore in response to </w:t>
      </w:r>
      <w:r w:rsidR="00A63EDE" w:rsidRPr="008328A3">
        <w:rPr>
          <w:rFonts w:ascii="Arial" w:hAnsi="Arial" w:cs="Arial"/>
          <w:iCs/>
        </w:rPr>
        <w:t xml:space="preserve">the results of </w:t>
      </w:r>
      <w:r w:rsidR="000938FD" w:rsidRPr="008328A3">
        <w:rPr>
          <w:rFonts w:ascii="Arial" w:hAnsi="Arial" w:cs="Arial"/>
          <w:iCs/>
        </w:rPr>
        <w:t xml:space="preserve">this process.  </w:t>
      </w:r>
    </w:p>
    <w:p w14:paraId="7C1AB6B3" w14:textId="77777777" w:rsidR="000938FD" w:rsidRPr="008328A3" w:rsidRDefault="000938FD" w:rsidP="00DD0299">
      <w:pPr>
        <w:spacing w:after="0"/>
        <w:rPr>
          <w:rFonts w:ascii="Arial" w:hAnsi="Arial" w:cs="Arial"/>
          <w:iCs/>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t>
      </w:r>
      <w:r w:rsidRPr="00EB7E25">
        <w:rPr>
          <w:rFonts w:ascii="Helvetica" w:hAnsi="Helvetica" w:cs="Arial"/>
          <w:i/>
        </w:rPr>
        <w:lastRenderedPageBreak/>
        <w:t xml:space="preserve">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Pr="008328A3" w:rsidRDefault="00253F36" w:rsidP="00253F36">
      <w:pPr>
        <w:spacing w:after="0"/>
        <w:rPr>
          <w:rFonts w:ascii="Helvetica" w:hAnsi="Helvetica" w:cs="Arial"/>
        </w:rPr>
      </w:pPr>
    </w:p>
    <w:p w14:paraId="7C548CA5" w14:textId="34DF9ED4" w:rsidR="00253F36" w:rsidRPr="008328A3" w:rsidRDefault="0036624D" w:rsidP="00253F36">
      <w:pPr>
        <w:spacing w:after="0"/>
        <w:rPr>
          <w:rFonts w:ascii="Helvetica" w:hAnsi="Helvetica" w:cs="Arial"/>
        </w:rPr>
      </w:pPr>
      <w:r w:rsidRPr="008328A3">
        <w:rPr>
          <w:rFonts w:ascii="Helvetica" w:hAnsi="Helvetica" w:cs="Arial"/>
        </w:rPr>
        <w:t xml:space="preserve">The following is a summary of the proposed session: </w:t>
      </w:r>
    </w:p>
    <w:p w14:paraId="5871A83A" w14:textId="77777777" w:rsidR="00DF66B7" w:rsidRPr="008328A3" w:rsidRDefault="00DF66B7" w:rsidP="00DF66B7">
      <w:pPr>
        <w:spacing w:after="0"/>
        <w:rPr>
          <w:rFonts w:ascii="Helvetica" w:hAnsi="Helvetica" w:cs="Arial"/>
        </w:rPr>
      </w:pPr>
    </w:p>
    <w:tbl>
      <w:tblPr>
        <w:tblStyle w:val="TableGrid"/>
        <w:tblW w:w="8527" w:type="dxa"/>
        <w:tblLook w:val="04A0" w:firstRow="1" w:lastRow="0" w:firstColumn="1" w:lastColumn="0" w:noHBand="0" w:noVBand="1"/>
      </w:tblPr>
      <w:tblGrid>
        <w:gridCol w:w="7105"/>
        <w:gridCol w:w="1422"/>
      </w:tblGrid>
      <w:tr w:rsidR="00DF66B7" w:rsidRPr="008328A3" w14:paraId="01A7318C" w14:textId="77777777" w:rsidTr="00DF66B7">
        <w:tc>
          <w:tcPr>
            <w:tcW w:w="7105" w:type="dxa"/>
          </w:tcPr>
          <w:p w14:paraId="1B4F92B0" w14:textId="423B2CC1" w:rsidR="00DF66B7" w:rsidRPr="008328A3" w:rsidRDefault="00DF66B7" w:rsidP="00C67949">
            <w:pPr>
              <w:spacing w:after="0"/>
              <w:jc w:val="center"/>
              <w:rPr>
                <w:rFonts w:ascii="Helvetica" w:hAnsi="Helvetica" w:cs="Arial"/>
                <w:b/>
              </w:rPr>
            </w:pPr>
            <w:r w:rsidRPr="008328A3">
              <w:rPr>
                <w:rFonts w:ascii="Helvetica" w:hAnsi="Helvetica" w:cs="Arial"/>
                <w:b/>
              </w:rPr>
              <w:t>Activity</w:t>
            </w:r>
          </w:p>
        </w:tc>
        <w:tc>
          <w:tcPr>
            <w:tcW w:w="1422" w:type="dxa"/>
          </w:tcPr>
          <w:p w14:paraId="56BB26B4" w14:textId="77777777" w:rsidR="00DF66B7" w:rsidRPr="008328A3" w:rsidRDefault="00DF66B7" w:rsidP="00041A9B">
            <w:pPr>
              <w:spacing w:after="0"/>
              <w:jc w:val="center"/>
              <w:rPr>
                <w:rFonts w:ascii="Helvetica" w:hAnsi="Helvetica" w:cs="Arial"/>
                <w:b/>
              </w:rPr>
            </w:pPr>
            <w:r w:rsidRPr="008328A3">
              <w:rPr>
                <w:rFonts w:ascii="Helvetica" w:hAnsi="Helvetica" w:cs="Arial"/>
                <w:b/>
              </w:rPr>
              <w:t>Time</w:t>
            </w:r>
          </w:p>
          <w:p w14:paraId="64C8AD24" w14:textId="238D7C16" w:rsidR="00DF66B7" w:rsidRPr="008328A3" w:rsidRDefault="00DF66B7" w:rsidP="00041A9B">
            <w:pPr>
              <w:spacing w:after="0"/>
              <w:jc w:val="center"/>
              <w:rPr>
                <w:rFonts w:ascii="Helvetica" w:hAnsi="Helvetica" w:cs="Arial"/>
                <w:b/>
              </w:rPr>
            </w:pPr>
          </w:p>
        </w:tc>
      </w:tr>
      <w:tr w:rsidR="00DF66B7" w:rsidRPr="008328A3" w14:paraId="0BD728EF" w14:textId="77777777" w:rsidTr="00DF66B7">
        <w:tc>
          <w:tcPr>
            <w:tcW w:w="7105" w:type="dxa"/>
          </w:tcPr>
          <w:p w14:paraId="062477D1" w14:textId="491EC36A" w:rsidR="00DF66B7" w:rsidRPr="008328A3" w:rsidRDefault="00DF66B7" w:rsidP="0047407E">
            <w:pPr>
              <w:spacing w:after="0"/>
              <w:rPr>
                <w:rFonts w:ascii="Helvetica" w:hAnsi="Helvetica" w:cs="Arial"/>
              </w:rPr>
            </w:pPr>
            <w:r w:rsidRPr="008328A3">
              <w:rPr>
                <w:rFonts w:ascii="Helvetica" w:hAnsi="Helvetica" w:cs="Arial"/>
              </w:rPr>
              <w:t>Introduction of Facilitators</w:t>
            </w:r>
            <w:r w:rsidR="0047407E" w:rsidRPr="008328A3">
              <w:rPr>
                <w:rFonts w:ascii="Helvetica" w:hAnsi="Helvetica" w:cs="Arial"/>
              </w:rPr>
              <w:t xml:space="preserve">, </w:t>
            </w:r>
            <w:r w:rsidRPr="008328A3">
              <w:rPr>
                <w:rFonts w:ascii="Helvetica" w:hAnsi="Helvetica" w:cs="Arial"/>
              </w:rPr>
              <w:t>Subject</w:t>
            </w:r>
            <w:r w:rsidR="000938FD" w:rsidRPr="008328A3">
              <w:rPr>
                <w:rFonts w:ascii="Helvetica" w:hAnsi="Helvetica" w:cs="Arial"/>
              </w:rPr>
              <w:t xml:space="preserve">, and </w:t>
            </w:r>
            <w:r w:rsidR="0047407E" w:rsidRPr="008328A3">
              <w:rPr>
                <w:rFonts w:ascii="Helvetica" w:hAnsi="Helvetica" w:cs="Arial"/>
              </w:rPr>
              <w:t xml:space="preserve">Rules for session </w:t>
            </w:r>
          </w:p>
        </w:tc>
        <w:tc>
          <w:tcPr>
            <w:tcW w:w="1422" w:type="dxa"/>
          </w:tcPr>
          <w:p w14:paraId="0BC47C09" w14:textId="77777777" w:rsidR="00DF66B7" w:rsidRPr="008328A3" w:rsidRDefault="00DF66B7" w:rsidP="00041A9B">
            <w:pPr>
              <w:spacing w:after="0"/>
              <w:jc w:val="right"/>
              <w:rPr>
                <w:rFonts w:ascii="Helvetica" w:hAnsi="Helvetica" w:cs="Arial"/>
              </w:rPr>
            </w:pPr>
            <w:r w:rsidRPr="008328A3">
              <w:rPr>
                <w:rFonts w:ascii="Helvetica" w:hAnsi="Helvetica" w:cs="Arial"/>
              </w:rPr>
              <w:t>5 Minutes</w:t>
            </w:r>
          </w:p>
        </w:tc>
      </w:tr>
      <w:tr w:rsidR="00DF66B7" w:rsidRPr="008328A3" w14:paraId="4CFA1356" w14:textId="77777777" w:rsidTr="00DF66B7">
        <w:tc>
          <w:tcPr>
            <w:tcW w:w="7105" w:type="dxa"/>
          </w:tcPr>
          <w:p w14:paraId="584A0D1F" w14:textId="231B7E23" w:rsidR="00C67949" w:rsidRPr="008328A3" w:rsidRDefault="0047407E" w:rsidP="00C67949">
            <w:pPr>
              <w:spacing w:after="0"/>
              <w:rPr>
                <w:rFonts w:ascii="Helvetica" w:hAnsi="Helvetica" w:cs="Arial"/>
              </w:rPr>
            </w:pPr>
            <w:r w:rsidRPr="008328A3">
              <w:rPr>
                <w:rFonts w:ascii="Helvetica" w:hAnsi="Helvetica" w:cs="Arial"/>
              </w:rPr>
              <w:t>How a mid- career search differs from an initial PhD search</w:t>
            </w:r>
          </w:p>
        </w:tc>
        <w:tc>
          <w:tcPr>
            <w:tcW w:w="1422" w:type="dxa"/>
          </w:tcPr>
          <w:p w14:paraId="3E869B21" w14:textId="77777777" w:rsidR="00DF66B7" w:rsidRPr="008328A3" w:rsidRDefault="00DF66B7" w:rsidP="00041A9B">
            <w:pPr>
              <w:spacing w:after="0"/>
              <w:jc w:val="right"/>
              <w:rPr>
                <w:rFonts w:ascii="Helvetica" w:hAnsi="Helvetica" w:cs="Arial"/>
              </w:rPr>
            </w:pPr>
            <w:r w:rsidRPr="008328A3">
              <w:rPr>
                <w:rFonts w:ascii="Helvetica" w:hAnsi="Helvetica" w:cs="Arial"/>
              </w:rPr>
              <w:t>10 Minutes</w:t>
            </w:r>
          </w:p>
        </w:tc>
      </w:tr>
      <w:tr w:rsidR="00DF66B7" w:rsidRPr="008328A3" w14:paraId="26FB60E1" w14:textId="77777777" w:rsidTr="00DF66B7">
        <w:tc>
          <w:tcPr>
            <w:tcW w:w="7105" w:type="dxa"/>
          </w:tcPr>
          <w:p w14:paraId="30C4959F" w14:textId="3E238303" w:rsidR="00C67949" w:rsidRPr="008328A3" w:rsidRDefault="000938FD" w:rsidP="000938FD">
            <w:pPr>
              <w:spacing w:after="0"/>
              <w:rPr>
                <w:rFonts w:ascii="Helvetica" w:hAnsi="Helvetica" w:cs="Arial"/>
              </w:rPr>
            </w:pPr>
            <w:r w:rsidRPr="008328A3">
              <w:rPr>
                <w:rFonts w:ascii="Helvetica" w:hAnsi="Helvetica" w:cs="Arial"/>
              </w:rPr>
              <w:t>Evaluating the r</w:t>
            </w:r>
            <w:r w:rsidR="0047407E" w:rsidRPr="008328A3">
              <w:rPr>
                <w:rFonts w:ascii="Helvetica" w:hAnsi="Helvetica" w:cs="Arial"/>
              </w:rPr>
              <w:t>easons for changing employers</w:t>
            </w:r>
            <w:r w:rsidR="00C67949" w:rsidRPr="008328A3">
              <w:rPr>
                <w:rFonts w:ascii="Helvetica" w:hAnsi="Helvetica" w:cs="Arial"/>
              </w:rPr>
              <w:t xml:space="preserve"> </w:t>
            </w:r>
          </w:p>
        </w:tc>
        <w:tc>
          <w:tcPr>
            <w:tcW w:w="1422" w:type="dxa"/>
          </w:tcPr>
          <w:p w14:paraId="7EF20D76" w14:textId="77777777" w:rsidR="00DF66B7" w:rsidRPr="008328A3" w:rsidRDefault="00DF66B7" w:rsidP="00041A9B">
            <w:pPr>
              <w:spacing w:after="0"/>
              <w:jc w:val="right"/>
              <w:rPr>
                <w:rFonts w:ascii="Helvetica" w:hAnsi="Helvetica" w:cs="Arial"/>
              </w:rPr>
            </w:pPr>
            <w:r w:rsidRPr="008328A3">
              <w:rPr>
                <w:rFonts w:ascii="Helvetica" w:hAnsi="Helvetica" w:cs="Arial"/>
              </w:rPr>
              <w:t>20 minutes</w:t>
            </w:r>
          </w:p>
        </w:tc>
      </w:tr>
      <w:tr w:rsidR="00DF66B7" w:rsidRPr="008328A3" w14:paraId="58974F66" w14:textId="77777777" w:rsidTr="00DF66B7">
        <w:tc>
          <w:tcPr>
            <w:tcW w:w="7105" w:type="dxa"/>
          </w:tcPr>
          <w:p w14:paraId="14C0643E" w14:textId="212E4A80" w:rsidR="00C67949" w:rsidRPr="008328A3" w:rsidRDefault="00C67949" w:rsidP="00C67949">
            <w:pPr>
              <w:spacing w:after="0"/>
              <w:rPr>
                <w:rFonts w:ascii="Helvetica" w:hAnsi="Helvetica" w:cs="Arial"/>
              </w:rPr>
            </w:pPr>
            <w:r w:rsidRPr="008328A3">
              <w:rPr>
                <w:rFonts w:ascii="Helvetica" w:hAnsi="Helvetica" w:cs="Arial"/>
              </w:rPr>
              <w:t>The Job Search process at mid-career</w:t>
            </w:r>
          </w:p>
        </w:tc>
        <w:tc>
          <w:tcPr>
            <w:tcW w:w="1422" w:type="dxa"/>
          </w:tcPr>
          <w:p w14:paraId="293E5D8A" w14:textId="7FF7A6AB" w:rsidR="00DF66B7" w:rsidRPr="008328A3" w:rsidRDefault="00C67949" w:rsidP="00041A9B">
            <w:pPr>
              <w:spacing w:after="0"/>
              <w:jc w:val="right"/>
              <w:rPr>
                <w:rFonts w:ascii="Helvetica" w:hAnsi="Helvetica" w:cs="Arial"/>
              </w:rPr>
            </w:pPr>
            <w:r w:rsidRPr="008328A3">
              <w:rPr>
                <w:rFonts w:ascii="Helvetica" w:hAnsi="Helvetica" w:cs="Arial"/>
              </w:rPr>
              <w:t>10</w:t>
            </w:r>
            <w:r w:rsidR="00DF66B7" w:rsidRPr="008328A3">
              <w:rPr>
                <w:rFonts w:ascii="Helvetica" w:hAnsi="Helvetica" w:cs="Arial"/>
              </w:rPr>
              <w:t xml:space="preserve"> minutes</w:t>
            </w:r>
          </w:p>
        </w:tc>
      </w:tr>
      <w:tr w:rsidR="00DF66B7" w:rsidRPr="008328A3" w14:paraId="3DDFEE3C" w14:textId="77777777" w:rsidTr="00DF66B7">
        <w:tc>
          <w:tcPr>
            <w:tcW w:w="7105" w:type="dxa"/>
          </w:tcPr>
          <w:p w14:paraId="3FCDD4D8" w14:textId="49097D6E" w:rsidR="00DF66B7" w:rsidRPr="008328A3" w:rsidRDefault="00C67949" w:rsidP="00041A9B">
            <w:pPr>
              <w:spacing w:after="0"/>
              <w:rPr>
                <w:rFonts w:ascii="Helvetica" w:hAnsi="Helvetica" w:cs="Arial"/>
              </w:rPr>
            </w:pPr>
            <w:r w:rsidRPr="008328A3">
              <w:rPr>
                <w:rFonts w:ascii="Helvetica" w:hAnsi="Helvetica" w:cs="Arial"/>
              </w:rPr>
              <w:t>The first year in your new position</w:t>
            </w:r>
          </w:p>
        </w:tc>
        <w:tc>
          <w:tcPr>
            <w:tcW w:w="1422" w:type="dxa"/>
          </w:tcPr>
          <w:p w14:paraId="6C5CC434" w14:textId="38A480EA" w:rsidR="00DF66B7" w:rsidRPr="008328A3" w:rsidRDefault="00C67949" w:rsidP="00041A9B">
            <w:pPr>
              <w:spacing w:after="0"/>
              <w:jc w:val="right"/>
              <w:rPr>
                <w:rFonts w:ascii="Helvetica" w:hAnsi="Helvetica" w:cs="Arial"/>
              </w:rPr>
            </w:pPr>
            <w:r w:rsidRPr="008328A3">
              <w:rPr>
                <w:rFonts w:ascii="Helvetica" w:hAnsi="Helvetica" w:cs="Arial"/>
              </w:rPr>
              <w:t>1</w:t>
            </w:r>
            <w:r w:rsidR="00DF66B7" w:rsidRPr="008328A3">
              <w:rPr>
                <w:rFonts w:ascii="Helvetica" w:hAnsi="Helvetica" w:cs="Arial"/>
              </w:rPr>
              <w:t>0 minutes</w:t>
            </w:r>
          </w:p>
        </w:tc>
      </w:tr>
      <w:tr w:rsidR="00DF66B7" w:rsidRPr="008328A3" w14:paraId="26118FAD" w14:textId="77777777" w:rsidTr="00DF66B7">
        <w:tc>
          <w:tcPr>
            <w:tcW w:w="7105" w:type="dxa"/>
          </w:tcPr>
          <w:p w14:paraId="52C34AA3" w14:textId="77777777" w:rsidR="00DF66B7" w:rsidRPr="008328A3" w:rsidRDefault="00DF66B7" w:rsidP="00041A9B">
            <w:pPr>
              <w:spacing w:after="0"/>
              <w:rPr>
                <w:rFonts w:ascii="Helvetica" w:hAnsi="Helvetica" w:cs="Arial"/>
              </w:rPr>
            </w:pPr>
            <w:r w:rsidRPr="008328A3">
              <w:rPr>
                <w:rFonts w:ascii="Helvetica" w:hAnsi="Helvetica" w:cs="Arial"/>
              </w:rPr>
              <w:t xml:space="preserve">Wrap Up &amp; Closing </w:t>
            </w:r>
          </w:p>
        </w:tc>
        <w:tc>
          <w:tcPr>
            <w:tcW w:w="1422" w:type="dxa"/>
          </w:tcPr>
          <w:p w14:paraId="621A4D3A" w14:textId="39B9F16E" w:rsidR="00DF66B7" w:rsidRPr="008328A3" w:rsidRDefault="00C67949" w:rsidP="00041A9B">
            <w:pPr>
              <w:spacing w:after="0"/>
              <w:jc w:val="right"/>
              <w:rPr>
                <w:rFonts w:ascii="Helvetica" w:hAnsi="Helvetica" w:cs="Arial"/>
              </w:rPr>
            </w:pPr>
            <w:r w:rsidRPr="008328A3">
              <w:rPr>
                <w:rFonts w:ascii="Helvetica" w:hAnsi="Helvetica" w:cs="Arial"/>
              </w:rPr>
              <w:t>5</w:t>
            </w:r>
            <w:r w:rsidR="00DF66B7" w:rsidRPr="008328A3">
              <w:rPr>
                <w:rFonts w:ascii="Helvetica" w:hAnsi="Helvetica" w:cs="Arial"/>
              </w:rPr>
              <w:t xml:space="preserve"> minutes</w:t>
            </w:r>
          </w:p>
        </w:tc>
      </w:tr>
      <w:tr w:rsidR="00DF66B7" w:rsidRPr="008328A3" w14:paraId="1AF7D3DB" w14:textId="77777777" w:rsidTr="00DF66B7">
        <w:tc>
          <w:tcPr>
            <w:tcW w:w="7105" w:type="dxa"/>
          </w:tcPr>
          <w:p w14:paraId="0AC19F04" w14:textId="77777777" w:rsidR="00DF66B7" w:rsidRPr="008328A3" w:rsidRDefault="00DF66B7" w:rsidP="00041A9B">
            <w:pPr>
              <w:spacing w:after="0"/>
              <w:rPr>
                <w:rFonts w:ascii="Helvetica" w:hAnsi="Helvetica" w:cs="Arial"/>
                <w:b/>
              </w:rPr>
            </w:pPr>
            <w:r w:rsidRPr="008328A3">
              <w:rPr>
                <w:rFonts w:ascii="Helvetica" w:hAnsi="Helvetica" w:cs="Arial"/>
                <w:b/>
              </w:rPr>
              <w:t>Total Time</w:t>
            </w:r>
          </w:p>
        </w:tc>
        <w:tc>
          <w:tcPr>
            <w:tcW w:w="1422" w:type="dxa"/>
          </w:tcPr>
          <w:p w14:paraId="6E6B06FC" w14:textId="7D7400D1" w:rsidR="00DF66B7" w:rsidRPr="008328A3" w:rsidRDefault="008328A3" w:rsidP="00041A9B">
            <w:pPr>
              <w:spacing w:after="0"/>
              <w:rPr>
                <w:rFonts w:ascii="Helvetica" w:hAnsi="Helvetica" w:cs="Arial"/>
                <w:b/>
              </w:rPr>
            </w:pPr>
            <w:r>
              <w:rPr>
                <w:rFonts w:ascii="Helvetica" w:hAnsi="Helvetica" w:cs="Arial"/>
                <w:b/>
              </w:rPr>
              <w:t xml:space="preserve"> </w:t>
            </w:r>
            <w:r w:rsidR="0047407E" w:rsidRPr="008328A3">
              <w:rPr>
                <w:rFonts w:ascii="Helvetica" w:hAnsi="Helvetica" w:cs="Arial"/>
                <w:b/>
              </w:rPr>
              <w:t>6</w:t>
            </w:r>
            <w:r w:rsidR="00DF66B7" w:rsidRPr="008328A3">
              <w:rPr>
                <w:rFonts w:ascii="Helvetica" w:hAnsi="Helvetica" w:cs="Arial"/>
                <w:b/>
              </w:rPr>
              <w:t>0 Minutes</w:t>
            </w:r>
          </w:p>
        </w:tc>
      </w:tr>
    </w:tbl>
    <w:p w14:paraId="2CD58038" w14:textId="77777777" w:rsidR="0047001B" w:rsidRPr="008328A3" w:rsidRDefault="0047001B" w:rsidP="00253F36">
      <w:pPr>
        <w:spacing w:after="0"/>
        <w:rPr>
          <w:rFonts w:ascii="Helvetica" w:hAnsi="Helvetica" w:cs="Arial"/>
        </w:rPr>
      </w:pPr>
    </w:p>
    <w:p w14:paraId="70BE465D" w14:textId="5819D2E4" w:rsidR="00C67949" w:rsidRPr="008328A3" w:rsidRDefault="0036624D" w:rsidP="00C67949">
      <w:pPr>
        <w:spacing w:after="0"/>
        <w:rPr>
          <w:rFonts w:ascii="Helvetica" w:hAnsi="Helvetica" w:cs="Arial"/>
        </w:rPr>
      </w:pPr>
      <w:r w:rsidRPr="008328A3">
        <w:rPr>
          <w:rFonts w:ascii="Helvetica" w:hAnsi="Helvetica" w:cs="Arial"/>
        </w:rPr>
        <w:t xml:space="preserve">The following is an overview of what activities that will occur throughout the session: </w:t>
      </w:r>
    </w:p>
    <w:p w14:paraId="1341A313" w14:textId="77777777" w:rsidR="0036624D" w:rsidRPr="008328A3" w:rsidRDefault="0036624D" w:rsidP="00C67949">
      <w:pPr>
        <w:spacing w:after="0"/>
        <w:rPr>
          <w:rFonts w:ascii="Helvetica" w:hAnsi="Helvetica" w:cs="Arial"/>
        </w:rPr>
      </w:pPr>
    </w:p>
    <w:p w14:paraId="7365DD42" w14:textId="13FAF10E" w:rsidR="000938FD" w:rsidRPr="008328A3" w:rsidRDefault="00C67949" w:rsidP="00950907">
      <w:pPr>
        <w:pStyle w:val="ListParagraph"/>
        <w:numPr>
          <w:ilvl w:val="0"/>
          <w:numId w:val="4"/>
        </w:numPr>
        <w:spacing w:after="0"/>
        <w:rPr>
          <w:rFonts w:ascii="Helvetica" w:hAnsi="Helvetica" w:cs="Arial"/>
        </w:rPr>
      </w:pPr>
      <w:r w:rsidRPr="008328A3">
        <w:rPr>
          <w:rFonts w:ascii="Helvetica" w:hAnsi="Helvetica" w:cs="Arial"/>
        </w:rPr>
        <w:t xml:space="preserve">Introduction of Facilitators, Subject, and </w:t>
      </w:r>
      <w:r w:rsidR="0036624D" w:rsidRPr="008328A3">
        <w:rPr>
          <w:rFonts w:ascii="Helvetica" w:hAnsi="Helvetica" w:cs="Arial"/>
        </w:rPr>
        <w:t xml:space="preserve">Rules for session </w:t>
      </w:r>
    </w:p>
    <w:p w14:paraId="54C3A66C" w14:textId="2EE62A52" w:rsidR="00950907" w:rsidRPr="008328A3" w:rsidRDefault="00950907" w:rsidP="00950907">
      <w:pPr>
        <w:spacing w:after="0"/>
        <w:rPr>
          <w:rFonts w:ascii="Helvetica" w:hAnsi="Helvetica" w:cs="Arial"/>
        </w:rPr>
      </w:pPr>
      <w:r w:rsidRPr="008328A3">
        <w:rPr>
          <w:rFonts w:ascii="Helvetica" w:hAnsi="Helvetica" w:cs="Arial"/>
        </w:rPr>
        <w:t xml:space="preserve">The session will begin with the introduction of the facilitators who both changed employers after a long tenure with their previous institutions.  As we anticipate that some participants may be concerned with disclosing that they are contemplating a change with colleagues, we will ask all session participants to abide by Las Vegas rules – who comes to and discussions within the session </w:t>
      </w:r>
      <w:r w:rsidR="00132EAE">
        <w:rPr>
          <w:rFonts w:ascii="Helvetica" w:hAnsi="Helvetica" w:cs="Arial"/>
        </w:rPr>
        <w:t>are</w:t>
      </w:r>
      <w:r w:rsidRPr="008328A3">
        <w:rPr>
          <w:rFonts w:ascii="Helvetica" w:hAnsi="Helvetica" w:cs="Arial"/>
        </w:rPr>
        <w:t xml:space="preserve"> confidential </w:t>
      </w:r>
      <w:r w:rsidR="00132EAE">
        <w:rPr>
          <w:rFonts w:ascii="Helvetica" w:hAnsi="Helvetica" w:cs="Arial"/>
        </w:rPr>
        <w:t>We will ask all participants not to personal information disclosed</w:t>
      </w:r>
      <w:r w:rsidRPr="008328A3">
        <w:rPr>
          <w:rFonts w:ascii="Helvetica" w:hAnsi="Helvetica" w:cs="Arial"/>
        </w:rPr>
        <w:t xml:space="preserve"> with those outside of the session.  </w:t>
      </w:r>
    </w:p>
    <w:p w14:paraId="5CFE654B" w14:textId="77777777" w:rsidR="00950907" w:rsidRPr="008328A3" w:rsidRDefault="00950907" w:rsidP="00C67949">
      <w:pPr>
        <w:spacing w:after="0"/>
        <w:rPr>
          <w:rFonts w:ascii="Helvetica" w:hAnsi="Helvetica" w:cs="Arial"/>
        </w:rPr>
      </w:pPr>
    </w:p>
    <w:p w14:paraId="50052BAF" w14:textId="77777777" w:rsidR="00C67949" w:rsidRPr="008328A3" w:rsidRDefault="00C67949" w:rsidP="00950907">
      <w:pPr>
        <w:pStyle w:val="ListParagraph"/>
        <w:numPr>
          <w:ilvl w:val="0"/>
          <w:numId w:val="4"/>
        </w:numPr>
        <w:spacing w:after="0"/>
        <w:rPr>
          <w:rFonts w:ascii="Helvetica" w:hAnsi="Helvetica" w:cs="Arial"/>
        </w:rPr>
      </w:pPr>
      <w:r w:rsidRPr="008328A3">
        <w:rPr>
          <w:rFonts w:ascii="Helvetica" w:hAnsi="Helvetica" w:cs="Arial"/>
        </w:rPr>
        <w:t>How a mid- career search differs from an initial PhD search</w:t>
      </w:r>
    </w:p>
    <w:p w14:paraId="127C4C24" w14:textId="77777777" w:rsidR="004D47AF" w:rsidRPr="008328A3" w:rsidRDefault="00950907" w:rsidP="00C67949">
      <w:pPr>
        <w:spacing w:after="0"/>
        <w:rPr>
          <w:rFonts w:ascii="Helvetica" w:hAnsi="Helvetica" w:cs="Arial"/>
        </w:rPr>
      </w:pPr>
      <w:r w:rsidRPr="008328A3">
        <w:rPr>
          <w:rFonts w:ascii="Helvetica" w:hAnsi="Helvetica" w:cs="Arial"/>
        </w:rPr>
        <w:t>During this activity</w:t>
      </w:r>
      <w:r w:rsidR="004D47AF" w:rsidRPr="008328A3">
        <w:rPr>
          <w:rFonts w:ascii="Helvetica" w:hAnsi="Helvetica" w:cs="Arial"/>
        </w:rPr>
        <w:t>,</w:t>
      </w:r>
      <w:r w:rsidRPr="008328A3">
        <w:rPr>
          <w:rFonts w:ascii="Helvetica" w:hAnsi="Helvetica" w:cs="Arial"/>
        </w:rPr>
        <w:t xml:space="preserve"> the facilitators will discuss how </w:t>
      </w:r>
      <w:r w:rsidR="004D47AF" w:rsidRPr="008328A3">
        <w:rPr>
          <w:rFonts w:ascii="Helvetica" w:hAnsi="Helvetica" w:cs="Arial"/>
        </w:rPr>
        <w:t>a mid-career</w:t>
      </w:r>
      <w:r w:rsidRPr="008328A3">
        <w:rPr>
          <w:rFonts w:ascii="Helvetica" w:hAnsi="Helvetica" w:cs="Arial"/>
        </w:rPr>
        <w:t xml:space="preserve"> job search differs from a job search for a new PhD, which is most familiar to potential participants in this session.</w:t>
      </w:r>
      <w:r w:rsidR="004D47AF" w:rsidRPr="008328A3">
        <w:rPr>
          <w:rFonts w:ascii="Helvetica" w:hAnsi="Helvetica" w:cs="Arial"/>
        </w:rPr>
        <w:t xml:space="preserve">  A mid-career search is a much more informed job search, with the applicant coming into the search with experience and perceptions that will influence the job search process. In addition, we will discuss how employers will view a mid-career applicant and how it differs from a new PhD applicant. </w:t>
      </w:r>
    </w:p>
    <w:p w14:paraId="1E4E625C" w14:textId="77777777" w:rsidR="004D47AF" w:rsidRPr="008328A3" w:rsidRDefault="004D47AF" w:rsidP="00C67949">
      <w:pPr>
        <w:spacing w:after="0"/>
        <w:rPr>
          <w:rFonts w:ascii="Helvetica" w:hAnsi="Helvetica" w:cs="Arial"/>
        </w:rPr>
      </w:pPr>
    </w:p>
    <w:p w14:paraId="23AC32F4" w14:textId="77777777" w:rsidR="004D47AF" w:rsidRPr="008328A3" w:rsidRDefault="004D47AF" w:rsidP="004D47AF">
      <w:pPr>
        <w:pStyle w:val="ListParagraph"/>
        <w:numPr>
          <w:ilvl w:val="0"/>
          <w:numId w:val="4"/>
        </w:numPr>
        <w:spacing w:after="0"/>
        <w:rPr>
          <w:rFonts w:ascii="Helvetica" w:hAnsi="Helvetica" w:cs="Arial"/>
        </w:rPr>
      </w:pPr>
      <w:r w:rsidRPr="008328A3">
        <w:rPr>
          <w:rFonts w:ascii="Helvetica" w:hAnsi="Helvetica" w:cs="Arial"/>
        </w:rPr>
        <w:t>Evaluating the reasons for changing employers</w:t>
      </w:r>
    </w:p>
    <w:p w14:paraId="056229B0" w14:textId="284F1E11" w:rsidR="007E6216" w:rsidRPr="008328A3" w:rsidRDefault="004D47AF" w:rsidP="004D47AF">
      <w:pPr>
        <w:spacing w:after="0"/>
        <w:rPr>
          <w:rFonts w:ascii="Helvetica" w:hAnsi="Helvetica" w:cs="Arial"/>
        </w:rPr>
      </w:pPr>
      <w:r w:rsidRPr="008328A3">
        <w:rPr>
          <w:rFonts w:ascii="Helvetica" w:hAnsi="Helvetica" w:cs="Arial"/>
        </w:rPr>
        <w:t xml:space="preserve">In this activity, we will use questions from Power and Rothausen’s (2003) Midcareer Development Model, person-environmental fit assessments, and other tools to help participants understand who they are, what they want from their career, and what they need to </w:t>
      </w:r>
      <w:r w:rsidR="007E6216" w:rsidRPr="008328A3">
        <w:rPr>
          <w:rFonts w:ascii="Helvetica" w:hAnsi="Helvetica" w:cs="Arial"/>
        </w:rPr>
        <w:t xml:space="preserve">achieve career goals.  We will also guide participants through an assessment of the organizational culture of their current institution comparing the elements of culture they were attracted to when they first went to their current institution versus the current culture, to understand wants and needs of a new employer.  </w:t>
      </w:r>
      <w:r w:rsidR="00045B62">
        <w:rPr>
          <w:rFonts w:ascii="Helvetica" w:hAnsi="Helvetica" w:cs="Arial"/>
        </w:rPr>
        <w:t xml:space="preserve">We have included a copy of some of the tools we will use in Appendix A. </w:t>
      </w:r>
      <w:r w:rsidR="007E6216" w:rsidRPr="008328A3">
        <w:rPr>
          <w:rFonts w:ascii="Helvetica" w:hAnsi="Helvetica" w:cs="Arial"/>
        </w:rPr>
        <w:t xml:space="preserve">The goal of these activities is to develop a listing of wants and needs of any employer to meet the participant’s career goals.   </w:t>
      </w:r>
    </w:p>
    <w:p w14:paraId="3D4CEA27" w14:textId="77777777" w:rsidR="007E6216" w:rsidRPr="008328A3" w:rsidRDefault="00C67949" w:rsidP="00C67949">
      <w:pPr>
        <w:pStyle w:val="ListParagraph"/>
        <w:numPr>
          <w:ilvl w:val="0"/>
          <w:numId w:val="4"/>
        </w:numPr>
        <w:spacing w:after="0"/>
        <w:rPr>
          <w:rFonts w:ascii="Helvetica" w:hAnsi="Helvetica" w:cs="Arial"/>
        </w:rPr>
      </w:pPr>
      <w:r w:rsidRPr="008328A3">
        <w:rPr>
          <w:rFonts w:ascii="Helvetica" w:hAnsi="Helvetica" w:cs="Arial"/>
        </w:rPr>
        <w:lastRenderedPageBreak/>
        <w:t>The Job Search process at mid-career</w:t>
      </w:r>
    </w:p>
    <w:p w14:paraId="4C1AE4F5" w14:textId="4EF25764" w:rsidR="00C67949" w:rsidRPr="008328A3" w:rsidRDefault="007E6216" w:rsidP="00C67949">
      <w:pPr>
        <w:spacing w:after="0"/>
        <w:rPr>
          <w:rFonts w:ascii="Helvetica" w:hAnsi="Helvetica" w:cs="Arial"/>
        </w:rPr>
      </w:pPr>
      <w:r w:rsidRPr="008328A3">
        <w:rPr>
          <w:rFonts w:ascii="Helvetica" w:hAnsi="Helvetica" w:cs="Arial"/>
        </w:rPr>
        <w:t>In this activity, the facilitators will discuss how to i</w:t>
      </w:r>
      <w:r w:rsidR="00C67949" w:rsidRPr="008328A3">
        <w:rPr>
          <w:rFonts w:ascii="Helvetica" w:hAnsi="Helvetica" w:cs="Arial"/>
        </w:rPr>
        <w:t xml:space="preserve">nventory </w:t>
      </w:r>
      <w:r w:rsidRPr="008328A3">
        <w:rPr>
          <w:rFonts w:ascii="Helvetica" w:hAnsi="Helvetica" w:cs="Arial"/>
        </w:rPr>
        <w:t>and q</w:t>
      </w:r>
      <w:r w:rsidR="00C67949" w:rsidRPr="008328A3">
        <w:rPr>
          <w:rFonts w:ascii="Helvetica" w:hAnsi="Helvetica" w:cs="Arial"/>
        </w:rPr>
        <w:t xml:space="preserve">uantifying </w:t>
      </w:r>
      <w:r w:rsidRPr="008328A3">
        <w:rPr>
          <w:rFonts w:ascii="Helvetica" w:hAnsi="Helvetica" w:cs="Arial"/>
        </w:rPr>
        <w:t>strengths and weaknesses from an employer’s eyes and how to position oneself if he or she decides to undergo a job search. We will discuss resources available and the experience of the facilitators and participants who have undergone a mid or later career faculty job search</w:t>
      </w:r>
      <w:r w:rsidR="00132EAE">
        <w:rPr>
          <w:rFonts w:ascii="Helvetica" w:hAnsi="Helvetica" w:cs="Arial"/>
        </w:rPr>
        <w:t>es</w:t>
      </w:r>
      <w:r w:rsidRPr="008328A3">
        <w:rPr>
          <w:rFonts w:ascii="Helvetica" w:hAnsi="Helvetica" w:cs="Arial"/>
        </w:rPr>
        <w:t xml:space="preserve">.  </w:t>
      </w:r>
    </w:p>
    <w:p w14:paraId="45074C28" w14:textId="77777777" w:rsidR="007E6216" w:rsidRPr="008328A3" w:rsidRDefault="007E6216" w:rsidP="00C67949">
      <w:pPr>
        <w:spacing w:after="0"/>
        <w:rPr>
          <w:rFonts w:ascii="Helvetica" w:hAnsi="Helvetica" w:cs="Arial"/>
        </w:rPr>
      </w:pPr>
    </w:p>
    <w:p w14:paraId="099A8522" w14:textId="77777777" w:rsidR="00C67949" w:rsidRPr="008328A3" w:rsidRDefault="00C67949" w:rsidP="007E6216">
      <w:pPr>
        <w:pStyle w:val="ListParagraph"/>
        <w:numPr>
          <w:ilvl w:val="0"/>
          <w:numId w:val="4"/>
        </w:numPr>
        <w:spacing w:after="0"/>
        <w:rPr>
          <w:rFonts w:ascii="Helvetica" w:hAnsi="Helvetica" w:cs="Arial"/>
        </w:rPr>
      </w:pPr>
      <w:r w:rsidRPr="008328A3">
        <w:rPr>
          <w:rFonts w:ascii="Helvetica" w:hAnsi="Helvetica" w:cs="Arial"/>
        </w:rPr>
        <w:t>The first year in your new position</w:t>
      </w:r>
    </w:p>
    <w:p w14:paraId="7EB5E52A" w14:textId="3F925FE7" w:rsidR="007E5C04" w:rsidRPr="008328A3" w:rsidRDefault="007E6216" w:rsidP="00A63EDE">
      <w:pPr>
        <w:spacing w:after="0"/>
        <w:rPr>
          <w:rFonts w:ascii="Helvetica" w:hAnsi="Helvetica" w:cs="Arial"/>
          <w:i/>
        </w:rPr>
      </w:pPr>
      <w:r w:rsidRPr="008328A3">
        <w:rPr>
          <w:rFonts w:ascii="Helvetica" w:hAnsi="Helvetica" w:cs="Arial"/>
        </w:rPr>
        <w:t xml:space="preserve">In this final activity, the facilitators will discuss the challenges encountered, </w:t>
      </w:r>
      <w:r w:rsidR="00A63EDE" w:rsidRPr="008328A3">
        <w:rPr>
          <w:rFonts w:ascii="Helvetica" w:hAnsi="Helvetica" w:cs="Arial"/>
        </w:rPr>
        <w:t xml:space="preserve">rewards, </w:t>
      </w:r>
      <w:r w:rsidRPr="008328A3">
        <w:rPr>
          <w:rFonts w:ascii="Helvetica" w:hAnsi="Helvetica" w:cs="Arial"/>
        </w:rPr>
        <w:t xml:space="preserve">and lessons learned during their first year at their new institution.   </w:t>
      </w: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473188C"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14:paraId="16538114" w14:textId="77777777" w:rsidR="00AC5E4B" w:rsidRDefault="00AC5E4B" w:rsidP="00AC5E4B">
      <w:pPr>
        <w:pStyle w:val="ListParagraph"/>
        <w:tabs>
          <w:tab w:val="left" w:pos="450"/>
        </w:tabs>
        <w:spacing w:after="0"/>
        <w:ind w:left="360"/>
        <w:rPr>
          <w:rFonts w:ascii="Helvetica" w:hAnsi="Helvetica" w:cs="Arial"/>
        </w:rPr>
      </w:pPr>
    </w:p>
    <w:p w14:paraId="23E7CA60" w14:textId="361859B6" w:rsidR="00362EC4" w:rsidRPr="002B5A58" w:rsidRDefault="00362EC4" w:rsidP="00362EC4">
      <w:pPr>
        <w:spacing w:after="0"/>
        <w:rPr>
          <w:rFonts w:ascii="Helvetica" w:hAnsi="Helvetica" w:cs="Arial"/>
          <w:b/>
          <w:sz w:val="28"/>
          <w:szCs w:val="28"/>
        </w:rPr>
      </w:pPr>
      <w:r>
        <w:rPr>
          <w:rFonts w:ascii="Helvetica" w:hAnsi="Helvetica" w:cs="Arial"/>
        </w:rPr>
        <w:t xml:space="preserve">Although research on mid and late job changers is increasing, the unique environment of higher education with its long-term employment guarantees for faculty through tenure and long-term contracts, makes job changing among the population represented by most OBTC participants particularly challenging with great personal risks.  We believe this session will provide a service to our community and will help our conference attendees pondering a job change </w:t>
      </w:r>
      <w:r w:rsidR="0047407E">
        <w:rPr>
          <w:rFonts w:ascii="Helvetica" w:hAnsi="Helvetica" w:cs="Arial"/>
        </w:rPr>
        <w:t xml:space="preserve">make better </w:t>
      </w:r>
      <w:r>
        <w:rPr>
          <w:rFonts w:ascii="Helvetica" w:hAnsi="Helvetica" w:cs="Arial"/>
        </w:rPr>
        <w:t xml:space="preserve">decisions </w:t>
      </w:r>
      <w:r w:rsidR="0047407E">
        <w:rPr>
          <w:rFonts w:ascii="Helvetica" w:hAnsi="Helvetica" w:cs="Arial"/>
        </w:rPr>
        <w:t>and</w:t>
      </w:r>
      <w:r>
        <w:rPr>
          <w:rFonts w:ascii="Helvetica" w:hAnsi="Helvetica" w:cs="Arial"/>
        </w:rPr>
        <w:t xml:space="preserve"> understand the risks and rewards</w:t>
      </w:r>
      <w:r w:rsidR="0047407E">
        <w:rPr>
          <w:rFonts w:ascii="Helvetica" w:hAnsi="Helvetica" w:cs="Arial"/>
        </w:rPr>
        <w:t xml:space="preserve"> associated with changing employers. </w:t>
      </w:r>
      <w:r w:rsidR="00C67949">
        <w:rPr>
          <w:rFonts w:ascii="Helvetica" w:hAnsi="Helvetica" w:cs="Arial"/>
        </w:rPr>
        <w:t xml:space="preserve">Having participated in this session, we believe </w:t>
      </w:r>
      <w:r w:rsidR="00685BFF">
        <w:rPr>
          <w:rFonts w:ascii="Helvetica" w:hAnsi="Helvetica" w:cs="Arial"/>
        </w:rPr>
        <w:t xml:space="preserve">participants with be more informed about their career choices, whether they remain with their current employer or make a change, </w:t>
      </w:r>
      <w:r>
        <w:rPr>
          <w:rFonts w:ascii="Helvetica" w:hAnsi="Helvetica" w:cs="Arial"/>
        </w:rPr>
        <w:t xml:space="preserve">resulting in better service to our universities, our students, and ourselves.  </w:t>
      </w: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15BF2C5A" w14:textId="77777777" w:rsidR="00DF66B7" w:rsidRDefault="00DF66B7" w:rsidP="0047407E">
      <w:pPr>
        <w:spacing w:after="0"/>
        <w:ind w:left="450"/>
        <w:rPr>
          <w:rFonts w:ascii="Helvetica" w:hAnsi="Helvetica" w:cs="Arial"/>
          <w:i/>
        </w:rPr>
      </w:pPr>
    </w:p>
    <w:p w14:paraId="780ACAFE" w14:textId="06CA4840" w:rsidR="00AF7378" w:rsidRPr="002B5A58" w:rsidRDefault="00DF66B7" w:rsidP="0047407E">
      <w:pPr>
        <w:spacing w:after="0"/>
        <w:ind w:left="450"/>
        <w:rPr>
          <w:rFonts w:ascii="Helvetica" w:hAnsi="Helvetica" w:cs="Arial"/>
          <w:b/>
          <w:sz w:val="28"/>
          <w:szCs w:val="28"/>
        </w:rPr>
      </w:pPr>
      <w:r>
        <w:rPr>
          <w:rFonts w:ascii="Helvetica" w:hAnsi="Helvetica" w:cs="Arial"/>
        </w:rPr>
        <w:t>We have not presented t</w:t>
      </w:r>
      <w:r w:rsidRPr="007F6E2E">
        <w:rPr>
          <w:rFonts w:ascii="Helvetica" w:hAnsi="Helvetica" w:cs="Arial"/>
        </w:rPr>
        <w:t xml:space="preserve">his work before and </w:t>
      </w:r>
      <w:r>
        <w:rPr>
          <w:rFonts w:ascii="Helvetica" w:hAnsi="Helvetica" w:cs="Arial"/>
        </w:rPr>
        <w:t xml:space="preserve">this work </w:t>
      </w:r>
      <w:r w:rsidRPr="007F6E2E">
        <w:rPr>
          <w:rFonts w:ascii="Helvetica" w:hAnsi="Helvetica" w:cs="Arial"/>
        </w:rPr>
        <w:t xml:space="preserve">is not under review </w:t>
      </w:r>
      <w:r w:rsidR="00362EC4">
        <w:rPr>
          <w:rFonts w:ascii="Helvetica" w:hAnsi="Helvetica" w:cs="Arial"/>
        </w:rPr>
        <w:t xml:space="preserve">with any other outlet. </w:t>
      </w:r>
    </w:p>
    <w:p w14:paraId="0D3B51D0" w14:textId="77777777" w:rsidR="00627A72" w:rsidRDefault="00627A72" w:rsidP="00572854">
      <w:pPr>
        <w:spacing w:after="0"/>
        <w:rPr>
          <w:rFonts w:ascii="Helvetica" w:hAnsi="Helvetica" w:cs="Arial"/>
        </w:rPr>
      </w:pPr>
    </w:p>
    <w:p w14:paraId="6C2AC5F3" w14:textId="77777777" w:rsidR="00BF5555" w:rsidRDefault="00BF5555" w:rsidP="00572854">
      <w:pPr>
        <w:spacing w:after="0"/>
        <w:rPr>
          <w:rFonts w:ascii="Helvetica" w:hAnsi="Helvetica" w:cs="Arial"/>
        </w:rPr>
      </w:pPr>
    </w:p>
    <w:p w14:paraId="3FF8F569" w14:textId="77777777" w:rsidR="00BF5555" w:rsidRDefault="00BF5555" w:rsidP="00572854">
      <w:pPr>
        <w:spacing w:after="0"/>
        <w:rPr>
          <w:rFonts w:ascii="Helvetica" w:hAnsi="Helvetica" w:cs="Arial"/>
        </w:rPr>
      </w:pPr>
    </w:p>
    <w:p w14:paraId="4CEB99FB" w14:textId="77777777" w:rsidR="00BF5555" w:rsidRDefault="00BF5555" w:rsidP="00572854">
      <w:pPr>
        <w:spacing w:after="0"/>
        <w:rPr>
          <w:rFonts w:ascii="Helvetica" w:hAnsi="Helvetica" w:cs="Arial"/>
        </w:rPr>
      </w:pPr>
    </w:p>
    <w:p w14:paraId="464BB706" w14:textId="77777777" w:rsidR="00685BFF" w:rsidRDefault="00685BFF">
      <w:pPr>
        <w:spacing w:after="0" w:line="240" w:lineRule="auto"/>
        <w:rPr>
          <w:rFonts w:ascii="Helvetica" w:hAnsi="Helvetica" w:cs="Arial"/>
        </w:rPr>
      </w:pPr>
      <w:r>
        <w:rPr>
          <w:rFonts w:ascii="Helvetica" w:hAnsi="Helvetica" w:cs="Arial"/>
        </w:rPr>
        <w:br w:type="page"/>
      </w:r>
    </w:p>
    <w:p w14:paraId="057F0E0D" w14:textId="5F366EF6" w:rsidR="00BF5555" w:rsidRPr="008328A3" w:rsidRDefault="00BF5555" w:rsidP="00755713">
      <w:pPr>
        <w:spacing w:after="0"/>
        <w:jc w:val="center"/>
        <w:outlineLvl w:val="0"/>
        <w:rPr>
          <w:rFonts w:ascii="Arial" w:hAnsi="Arial" w:cs="Arial"/>
          <w:b/>
        </w:rPr>
      </w:pPr>
      <w:r w:rsidRPr="008328A3">
        <w:rPr>
          <w:rFonts w:ascii="Arial" w:hAnsi="Arial" w:cs="Arial"/>
          <w:b/>
        </w:rPr>
        <w:lastRenderedPageBreak/>
        <w:t>References</w:t>
      </w:r>
    </w:p>
    <w:p w14:paraId="764AB05B" w14:textId="77777777" w:rsidR="00BF5555" w:rsidRPr="0036624D" w:rsidRDefault="00BF5555" w:rsidP="00572854">
      <w:pPr>
        <w:spacing w:after="0"/>
        <w:rPr>
          <w:rFonts w:ascii="Arial" w:hAnsi="Arial" w:cs="Arial"/>
        </w:rPr>
      </w:pPr>
    </w:p>
    <w:p w14:paraId="77C15237" w14:textId="0CE5D049" w:rsidR="00525172" w:rsidRPr="0036624D" w:rsidRDefault="00525172" w:rsidP="00BF5555">
      <w:pPr>
        <w:autoSpaceDE w:val="0"/>
        <w:autoSpaceDN w:val="0"/>
        <w:adjustRightInd w:val="0"/>
        <w:spacing w:after="0" w:line="240" w:lineRule="auto"/>
        <w:rPr>
          <w:rFonts w:ascii="Arial" w:hAnsi="Arial" w:cs="Arial"/>
          <w:i/>
          <w:iCs/>
        </w:rPr>
      </w:pPr>
      <w:r w:rsidRPr="0036624D">
        <w:rPr>
          <w:rFonts w:ascii="Arial" w:hAnsi="Arial" w:cs="Arial"/>
        </w:rPr>
        <w:t xml:space="preserve">Barclay, S. R., Stoltz, K. B., &amp; Chung, Y. B. (2011). Voluntary midlife career change: Integrating the transtheoretical model and the life-span, life-space approach. </w:t>
      </w:r>
      <w:r w:rsidRPr="0036624D">
        <w:rPr>
          <w:rFonts w:ascii="Arial" w:hAnsi="Arial" w:cs="Arial"/>
          <w:i/>
          <w:iCs/>
        </w:rPr>
        <w:t xml:space="preserve">Career Development Quarterly, 60, </w:t>
      </w:r>
      <w:r w:rsidRPr="0036624D">
        <w:rPr>
          <w:rFonts w:ascii="Arial" w:hAnsi="Arial" w:cs="Arial"/>
        </w:rPr>
        <w:t>386-399</w:t>
      </w:r>
      <w:r w:rsidRPr="0036624D">
        <w:rPr>
          <w:rFonts w:ascii="Arial" w:hAnsi="Arial" w:cs="Arial"/>
          <w:i/>
          <w:iCs/>
        </w:rPr>
        <w:t xml:space="preserve">. </w:t>
      </w:r>
      <w:r w:rsidR="00943B2F" w:rsidRPr="00943B2F">
        <w:rPr>
          <w:rFonts w:ascii="Arial" w:hAnsi="Arial" w:cs="Arial"/>
          <w:i/>
          <w:iCs/>
        </w:rPr>
        <w:t>DOI: 1</w:t>
      </w:r>
      <w:r w:rsidR="00943B2F">
        <w:rPr>
          <w:rFonts w:ascii="Arial" w:hAnsi="Arial" w:cs="Arial"/>
          <w:i/>
          <w:iCs/>
        </w:rPr>
        <w:t>0.1002/j.2161-0045.2011.tb00966</w:t>
      </w:r>
    </w:p>
    <w:p w14:paraId="5E8A7BF9" w14:textId="77777777" w:rsidR="00850A7A" w:rsidRDefault="00850A7A" w:rsidP="00850A7A">
      <w:pPr>
        <w:autoSpaceDE w:val="0"/>
        <w:autoSpaceDN w:val="0"/>
        <w:adjustRightInd w:val="0"/>
        <w:spacing w:after="0" w:line="240" w:lineRule="auto"/>
        <w:rPr>
          <w:rFonts w:ascii="Arial" w:hAnsi="Arial" w:cs="Arial"/>
          <w:i/>
          <w:iCs/>
        </w:rPr>
      </w:pPr>
    </w:p>
    <w:p w14:paraId="04D95514" w14:textId="60E05C0F" w:rsidR="00850A7A" w:rsidRPr="00850A7A" w:rsidRDefault="00850A7A" w:rsidP="00755713">
      <w:pPr>
        <w:autoSpaceDE w:val="0"/>
        <w:autoSpaceDN w:val="0"/>
        <w:adjustRightInd w:val="0"/>
        <w:spacing w:after="0" w:line="240" w:lineRule="auto"/>
        <w:outlineLvl w:val="0"/>
        <w:rPr>
          <w:rFonts w:ascii="Arial" w:hAnsi="Arial" w:cs="Arial"/>
          <w:iCs/>
        </w:rPr>
      </w:pPr>
      <w:r w:rsidRPr="00850A7A">
        <w:rPr>
          <w:rFonts w:ascii="Arial" w:hAnsi="Arial" w:cs="Arial"/>
          <w:iCs/>
        </w:rPr>
        <w:t xml:space="preserve">Bimrose, </w:t>
      </w:r>
      <w:r>
        <w:rPr>
          <w:rFonts w:ascii="Arial" w:hAnsi="Arial" w:cs="Arial"/>
          <w:iCs/>
        </w:rPr>
        <w:t xml:space="preserve">J., </w:t>
      </w:r>
      <w:r w:rsidRPr="00850A7A">
        <w:rPr>
          <w:rFonts w:ascii="Arial" w:hAnsi="Arial" w:cs="Arial"/>
          <w:iCs/>
        </w:rPr>
        <w:t>Barabasch, A</w:t>
      </w:r>
      <w:r>
        <w:rPr>
          <w:rFonts w:ascii="Arial" w:hAnsi="Arial" w:cs="Arial"/>
          <w:iCs/>
        </w:rPr>
        <w:t xml:space="preserve">., </w:t>
      </w:r>
      <w:r w:rsidRPr="00850A7A">
        <w:rPr>
          <w:rFonts w:ascii="Arial" w:hAnsi="Arial" w:cs="Arial"/>
          <w:iCs/>
        </w:rPr>
        <w:t>Brown</w:t>
      </w:r>
      <w:r>
        <w:rPr>
          <w:rFonts w:ascii="Arial" w:hAnsi="Arial" w:cs="Arial"/>
          <w:iCs/>
        </w:rPr>
        <w:t>, A.,</w:t>
      </w:r>
      <w:r w:rsidRPr="00850A7A">
        <w:rPr>
          <w:rFonts w:ascii="Arial" w:hAnsi="Arial" w:cs="Arial"/>
          <w:iCs/>
        </w:rPr>
        <w:t xml:space="preserve"> &amp; Mulvey</w:t>
      </w:r>
      <w:r>
        <w:rPr>
          <w:rFonts w:ascii="Arial" w:hAnsi="Arial" w:cs="Arial"/>
          <w:iCs/>
        </w:rPr>
        <w:t>. R.</w:t>
      </w:r>
      <w:r w:rsidRPr="00850A7A">
        <w:rPr>
          <w:rFonts w:ascii="Arial" w:hAnsi="Arial" w:cs="Arial"/>
          <w:iCs/>
        </w:rPr>
        <w:t xml:space="preserve"> (2015) Midcareer</w:t>
      </w:r>
    </w:p>
    <w:p w14:paraId="20A193AB" w14:textId="77777777" w:rsidR="00850A7A" w:rsidRPr="00850A7A" w:rsidRDefault="00850A7A" w:rsidP="00850A7A">
      <w:pPr>
        <w:autoSpaceDE w:val="0"/>
        <w:autoSpaceDN w:val="0"/>
        <w:adjustRightInd w:val="0"/>
        <w:spacing w:after="0" w:line="240" w:lineRule="auto"/>
        <w:rPr>
          <w:rFonts w:ascii="Arial" w:hAnsi="Arial" w:cs="Arial"/>
          <w:iCs/>
        </w:rPr>
      </w:pPr>
      <w:r w:rsidRPr="00850A7A">
        <w:rPr>
          <w:rFonts w:ascii="Arial" w:hAnsi="Arial" w:cs="Arial"/>
          <w:iCs/>
        </w:rPr>
        <w:t>changes symposium,</w:t>
      </w:r>
      <w:r w:rsidRPr="00850A7A">
        <w:rPr>
          <w:rFonts w:ascii="Arial" w:hAnsi="Arial" w:cs="Arial"/>
          <w:i/>
          <w:iCs/>
        </w:rPr>
        <w:t xml:space="preserve"> British Journal of Guidance &amp; Counselling</w:t>
      </w:r>
      <w:r w:rsidRPr="00850A7A">
        <w:rPr>
          <w:rFonts w:ascii="Arial" w:hAnsi="Arial" w:cs="Arial"/>
          <w:iCs/>
        </w:rPr>
        <w:t>, 43:3, 255-262, DOI:</w:t>
      </w:r>
    </w:p>
    <w:p w14:paraId="06C02B58" w14:textId="1C2F0100" w:rsidR="00525172" w:rsidRPr="00850A7A" w:rsidRDefault="00850A7A" w:rsidP="00850A7A">
      <w:pPr>
        <w:autoSpaceDE w:val="0"/>
        <w:autoSpaceDN w:val="0"/>
        <w:adjustRightInd w:val="0"/>
        <w:spacing w:after="0" w:line="240" w:lineRule="auto"/>
        <w:rPr>
          <w:rFonts w:ascii="Arial" w:hAnsi="Arial" w:cs="Arial"/>
          <w:iCs/>
        </w:rPr>
      </w:pPr>
      <w:r w:rsidRPr="00850A7A">
        <w:rPr>
          <w:rFonts w:ascii="Arial" w:hAnsi="Arial" w:cs="Arial"/>
          <w:iCs/>
        </w:rPr>
        <w:t>10.1080/03069885.2015.1037098</w:t>
      </w:r>
    </w:p>
    <w:p w14:paraId="66CE8772" w14:textId="77777777" w:rsidR="00850A7A" w:rsidRDefault="00850A7A" w:rsidP="00850A7A">
      <w:pPr>
        <w:autoSpaceDE w:val="0"/>
        <w:autoSpaceDN w:val="0"/>
        <w:adjustRightInd w:val="0"/>
        <w:spacing w:after="0" w:line="240" w:lineRule="auto"/>
        <w:rPr>
          <w:rFonts w:ascii="Arial" w:hAnsi="Arial" w:cs="Arial"/>
          <w:i/>
          <w:iCs/>
        </w:rPr>
      </w:pPr>
    </w:p>
    <w:p w14:paraId="68653E36" w14:textId="6EDE475C" w:rsidR="00335B87" w:rsidRDefault="00335B87" w:rsidP="00850A7A">
      <w:pPr>
        <w:autoSpaceDE w:val="0"/>
        <w:autoSpaceDN w:val="0"/>
        <w:adjustRightInd w:val="0"/>
        <w:spacing w:after="0" w:line="240" w:lineRule="auto"/>
        <w:rPr>
          <w:rFonts w:ascii="Arial" w:hAnsi="Arial" w:cs="Arial"/>
        </w:rPr>
      </w:pPr>
      <w:r>
        <w:rPr>
          <w:rFonts w:ascii="Arial" w:hAnsi="Arial" w:cs="Arial"/>
        </w:rPr>
        <w:t xml:space="preserve">Engels, </w:t>
      </w:r>
      <w:r w:rsidR="00A40FC2">
        <w:rPr>
          <w:rFonts w:ascii="Arial" w:hAnsi="Arial" w:cs="Arial"/>
        </w:rPr>
        <w:t xml:space="preserve">D.W. </w:t>
      </w:r>
      <w:r>
        <w:rPr>
          <w:rFonts w:ascii="Arial" w:hAnsi="Arial" w:cs="Arial"/>
        </w:rPr>
        <w:t>(1995)</w:t>
      </w:r>
      <w:r w:rsidR="00A40FC2">
        <w:rPr>
          <w:rFonts w:ascii="Arial" w:hAnsi="Arial" w:cs="Arial"/>
        </w:rPr>
        <w:t xml:space="preserve">.  Common themes in midlife career transitions, </w:t>
      </w:r>
      <w:r w:rsidR="00A40FC2">
        <w:rPr>
          <w:rFonts w:ascii="Arial" w:hAnsi="Arial" w:cs="Arial"/>
          <w:i/>
        </w:rPr>
        <w:t>Career Development Quarterly,</w:t>
      </w:r>
      <w:r w:rsidR="00A40FC2">
        <w:rPr>
          <w:rFonts w:ascii="Arial" w:hAnsi="Arial" w:cs="Arial"/>
        </w:rPr>
        <w:t xml:space="preserve"> 44, 83-88. </w:t>
      </w:r>
      <w:r w:rsidR="00943B2F" w:rsidRPr="00943B2F">
        <w:rPr>
          <w:rFonts w:ascii="Arial" w:hAnsi="Arial" w:cs="Arial"/>
        </w:rPr>
        <w:t>DOI: 10.1002/j.2161-0045.1995.tb00531</w:t>
      </w:r>
    </w:p>
    <w:p w14:paraId="73868749" w14:textId="77777777" w:rsidR="00A40FC2" w:rsidRDefault="00A40FC2" w:rsidP="00850A7A">
      <w:pPr>
        <w:autoSpaceDE w:val="0"/>
        <w:autoSpaceDN w:val="0"/>
        <w:adjustRightInd w:val="0"/>
        <w:spacing w:after="0" w:line="240" w:lineRule="auto"/>
        <w:rPr>
          <w:rFonts w:ascii="Arial" w:hAnsi="Arial" w:cs="Arial"/>
        </w:rPr>
      </w:pPr>
    </w:p>
    <w:p w14:paraId="3D0B9D31" w14:textId="4E7C045C" w:rsidR="00BF5555" w:rsidRPr="00943B2F" w:rsidRDefault="00BF5555" w:rsidP="00BF5555">
      <w:pPr>
        <w:autoSpaceDE w:val="0"/>
        <w:autoSpaceDN w:val="0"/>
        <w:adjustRightInd w:val="0"/>
        <w:spacing w:after="0" w:line="240" w:lineRule="auto"/>
        <w:rPr>
          <w:rFonts w:ascii="Arial" w:eastAsiaTheme="minorEastAsia" w:hAnsi="Arial" w:cs="Arial"/>
        </w:rPr>
      </w:pPr>
      <w:r w:rsidRPr="00943B2F">
        <w:rPr>
          <w:rFonts w:ascii="Arial" w:eastAsiaTheme="minorEastAsia" w:hAnsi="Arial" w:cs="Arial"/>
        </w:rPr>
        <w:t xml:space="preserve">English, L. &amp; </w:t>
      </w:r>
      <w:r w:rsidRPr="00943B2F">
        <w:rPr>
          <w:rFonts w:ascii="Arial" w:hAnsi="Arial" w:cs="Arial"/>
        </w:rPr>
        <w:t>Avakian</w:t>
      </w:r>
      <w:r w:rsidRPr="00943B2F">
        <w:rPr>
          <w:rFonts w:ascii="Arial" w:eastAsiaTheme="minorEastAsia" w:hAnsi="Arial" w:cs="Arial"/>
        </w:rPr>
        <w:t xml:space="preserve">, L. (2012). </w:t>
      </w:r>
      <w:r w:rsidRPr="00943B2F">
        <w:rPr>
          <w:rFonts w:ascii="Arial" w:eastAsiaTheme="minorEastAsia" w:hAnsi="Arial" w:cs="Arial"/>
          <w:i/>
        </w:rPr>
        <w:t>Transforming higher education through faculty well-being</w:t>
      </w:r>
      <w:r w:rsidRPr="00943B2F">
        <w:rPr>
          <w:rFonts w:ascii="Arial" w:eastAsiaTheme="minorEastAsia" w:hAnsi="Arial" w:cs="Arial"/>
        </w:rPr>
        <w:t>. Horizons Workforce Consulting</w:t>
      </w:r>
    </w:p>
    <w:p w14:paraId="7031039B" w14:textId="77777777" w:rsidR="00C16D93" w:rsidRPr="00943B2F" w:rsidRDefault="00C16D93" w:rsidP="00C16D93">
      <w:pPr>
        <w:autoSpaceDE w:val="0"/>
        <w:autoSpaceDN w:val="0"/>
        <w:adjustRightInd w:val="0"/>
        <w:spacing w:after="0" w:line="240" w:lineRule="auto"/>
        <w:rPr>
          <w:rFonts w:ascii="Arial" w:eastAsiaTheme="minorEastAsia" w:hAnsi="Arial" w:cs="Arial"/>
          <w:color w:val="000000"/>
        </w:rPr>
      </w:pPr>
    </w:p>
    <w:p w14:paraId="0F4C446D" w14:textId="0D11FFBB" w:rsidR="0081491E" w:rsidRPr="00943B2F" w:rsidRDefault="00C16D93" w:rsidP="00C16D93">
      <w:pPr>
        <w:autoSpaceDE w:val="0"/>
        <w:autoSpaceDN w:val="0"/>
        <w:adjustRightInd w:val="0"/>
        <w:spacing w:after="0" w:line="240" w:lineRule="auto"/>
        <w:rPr>
          <w:rFonts w:ascii="Arial" w:eastAsiaTheme="minorEastAsia" w:hAnsi="Arial" w:cs="Arial"/>
        </w:rPr>
      </w:pPr>
      <w:r w:rsidRPr="00943B2F">
        <w:rPr>
          <w:rFonts w:ascii="Arial" w:eastAsiaTheme="minorEastAsia" w:hAnsi="Arial" w:cs="Arial"/>
          <w:color w:val="000000"/>
        </w:rPr>
        <w:t xml:space="preserve">Maddox-Daines, K.L. (2016), Mid-career as a process of discovery, </w:t>
      </w:r>
      <w:r w:rsidRPr="00943B2F">
        <w:rPr>
          <w:rFonts w:ascii="Arial" w:eastAsiaTheme="minorEastAsia" w:hAnsi="Arial" w:cs="Arial"/>
          <w:i/>
          <w:color w:val="000000"/>
        </w:rPr>
        <w:t xml:space="preserve">Career Development </w:t>
      </w:r>
      <w:r w:rsidRPr="00943B2F">
        <w:rPr>
          <w:rFonts w:ascii="Arial" w:eastAsiaTheme="minorEastAsia" w:hAnsi="Arial" w:cs="Arial"/>
          <w:i/>
        </w:rPr>
        <w:t>International</w:t>
      </w:r>
      <w:r w:rsidRPr="00943B2F">
        <w:rPr>
          <w:rFonts w:ascii="Arial" w:eastAsiaTheme="minorEastAsia" w:hAnsi="Arial" w:cs="Arial"/>
        </w:rPr>
        <w:t>, 21(1), DOI: 10.1108/CDI-10-2014-0132</w:t>
      </w:r>
    </w:p>
    <w:p w14:paraId="068C50BA" w14:textId="77777777" w:rsidR="00C16D93" w:rsidRPr="00132EAE" w:rsidRDefault="00C16D93" w:rsidP="004866D1">
      <w:pPr>
        <w:autoSpaceDE w:val="0"/>
        <w:autoSpaceDN w:val="0"/>
        <w:adjustRightInd w:val="0"/>
        <w:spacing w:after="0" w:line="240" w:lineRule="auto"/>
        <w:rPr>
          <w:rFonts w:ascii="Arial" w:eastAsiaTheme="minorEastAsia" w:hAnsi="Arial" w:cs="Arial"/>
          <w:bCs/>
        </w:rPr>
      </w:pPr>
    </w:p>
    <w:p w14:paraId="7590EE5C" w14:textId="652439B4" w:rsidR="004866D1" w:rsidRPr="0036624D" w:rsidRDefault="004866D1" w:rsidP="004866D1">
      <w:pPr>
        <w:autoSpaceDE w:val="0"/>
        <w:autoSpaceDN w:val="0"/>
        <w:adjustRightInd w:val="0"/>
        <w:spacing w:after="0" w:line="240" w:lineRule="auto"/>
        <w:rPr>
          <w:rFonts w:ascii="Arial" w:eastAsiaTheme="minorEastAsia" w:hAnsi="Arial" w:cs="Arial"/>
          <w:bCs/>
        </w:rPr>
      </w:pPr>
      <w:r w:rsidRPr="0036624D">
        <w:rPr>
          <w:rFonts w:ascii="Arial" w:eastAsiaTheme="minorEastAsia" w:hAnsi="Arial" w:cs="Arial"/>
          <w:bCs/>
        </w:rPr>
        <w:t xml:space="preserve">National Center for Education Statistics (NCES; 2001). </w:t>
      </w:r>
      <w:r w:rsidRPr="0036624D">
        <w:rPr>
          <w:rFonts w:ascii="Arial" w:eastAsiaTheme="minorEastAsia" w:hAnsi="Arial" w:cs="Arial"/>
          <w:bCs/>
          <w:i/>
        </w:rPr>
        <w:t xml:space="preserve">Institutional Policies and Practices: Results from the 1999 National Study of Postsecondary Faculty, Institution Survey </w:t>
      </w:r>
      <w:r w:rsidRPr="0036624D">
        <w:rPr>
          <w:rFonts w:ascii="Arial" w:eastAsiaTheme="minorEastAsia" w:hAnsi="Arial" w:cs="Arial"/>
          <w:bCs/>
        </w:rPr>
        <w:t>(NCES 2001-201), U.S. Department of Education, Office of Educational Research and Improvement, Washington, DC.</w:t>
      </w:r>
    </w:p>
    <w:p w14:paraId="3D961447" w14:textId="77777777" w:rsidR="004D47AF" w:rsidRDefault="004D47AF" w:rsidP="004D47AF">
      <w:pPr>
        <w:autoSpaceDE w:val="0"/>
        <w:autoSpaceDN w:val="0"/>
        <w:adjustRightInd w:val="0"/>
        <w:spacing w:after="0" w:line="240" w:lineRule="auto"/>
        <w:rPr>
          <w:rFonts w:ascii="Arial" w:eastAsiaTheme="minorEastAsia" w:hAnsi="Arial" w:cs="Arial"/>
          <w:bCs/>
        </w:rPr>
      </w:pPr>
    </w:p>
    <w:p w14:paraId="4BFAA888" w14:textId="436FEA23" w:rsidR="004866D1" w:rsidRDefault="004D47AF" w:rsidP="004D47AF">
      <w:pPr>
        <w:autoSpaceDE w:val="0"/>
        <w:autoSpaceDN w:val="0"/>
        <w:adjustRightInd w:val="0"/>
        <w:spacing w:after="0" w:line="240" w:lineRule="auto"/>
        <w:rPr>
          <w:rFonts w:ascii="Arial" w:eastAsiaTheme="minorEastAsia" w:hAnsi="Arial" w:cs="Arial"/>
          <w:bCs/>
        </w:rPr>
      </w:pPr>
      <w:r>
        <w:rPr>
          <w:rFonts w:ascii="Arial" w:eastAsiaTheme="minorEastAsia" w:hAnsi="Arial" w:cs="Arial"/>
          <w:bCs/>
        </w:rPr>
        <w:t xml:space="preserve">Power, S.J. &amp; </w:t>
      </w:r>
      <w:r w:rsidRPr="004D47AF">
        <w:rPr>
          <w:rFonts w:ascii="Arial" w:eastAsiaTheme="minorEastAsia" w:hAnsi="Arial" w:cs="Arial"/>
          <w:bCs/>
        </w:rPr>
        <w:t>Rothausen</w:t>
      </w:r>
      <w:r>
        <w:rPr>
          <w:rFonts w:ascii="Arial" w:eastAsiaTheme="minorEastAsia" w:hAnsi="Arial" w:cs="Arial"/>
          <w:bCs/>
        </w:rPr>
        <w:t xml:space="preserve">, T.J. (2003) </w:t>
      </w:r>
      <w:r w:rsidRPr="004D47AF">
        <w:rPr>
          <w:rFonts w:ascii="Arial" w:eastAsiaTheme="minorEastAsia" w:hAnsi="Arial" w:cs="Arial"/>
          <w:bCs/>
        </w:rPr>
        <w:t>The Work-Oriented Midcareer Development Model: An Extension of Super's Maintenance Stage</w:t>
      </w:r>
      <w:r>
        <w:rPr>
          <w:rFonts w:ascii="Arial" w:eastAsiaTheme="minorEastAsia" w:hAnsi="Arial" w:cs="Arial"/>
          <w:bCs/>
        </w:rPr>
        <w:t xml:space="preserve">, </w:t>
      </w:r>
      <w:r w:rsidRPr="00A63EDE">
        <w:rPr>
          <w:rFonts w:ascii="Arial" w:eastAsiaTheme="minorEastAsia" w:hAnsi="Arial" w:cs="Arial"/>
          <w:bCs/>
          <w:i/>
        </w:rPr>
        <w:t>The Counseling Psychologist</w:t>
      </w:r>
      <w:r>
        <w:rPr>
          <w:rFonts w:ascii="Arial" w:eastAsiaTheme="minorEastAsia" w:hAnsi="Arial" w:cs="Arial"/>
          <w:bCs/>
        </w:rPr>
        <w:t xml:space="preserve">, </w:t>
      </w:r>
      <w:r w:rsidRPr="004D47AF">
        <w:rPr>
          <w:rFonts w:ascii="Arial" w:eastAsiaTheme="minorEastAsia" w:hAnsi="Arial" w:cs="Arial"/>
          <w:bCs/>
        </w:rPr>
        <w:t>31</w:t>
      </w:r>
      <w:r>
        <w:rPr>
          <w:rFonts w:ascii="Arial" w:eastAsiaTheme="minorEastAsia" w:hAnsi="Arial" w:cs="Arial"/>
          <w:bCs/>
        </w:rPr>
        <w:t xml:space="preserve">(2), </w:t>
      </w:r>
      <w:r w:rsidRPr="004D47AF">
        <w:rPr>
          <w:rFonts w:ascii="Arial" w:eastAsiaTheme="minorEastAsia" w:hAnsi="Arial" w:cs="Arial"/>
          <w:bCs/>
        </w:rPr>
        <w:t>157-197</w:t>
      </w:r>
      <w:r w:rsidR="00943B2F">
        <w:rPr>
          <w:rFonts w:ascii="Arial" w:eastAsiaTheme="minorEastAsia" w:hAnsi="Arial" w:cs="Arial"/>
          <w:bCs/>
        </w:rPr>
        <w:t>. DOI</w:t>
      </w:r>
      <w:r w:rsidR="00943B2F" w:rsidRPr="00943B2F">
        <w:rPr>
          <w:rFonts w:ascii="Arial" w:eastAsiaTheme="minorEastAsia" w:hAnsi="Arial" w:cs="Arial"/>
          <w:bCs/>
        </w:rPr>
        <w:t>: 10.1177/0011000002250479</w:t>
      </w:r>
    </w:p>
    <w:p w14:paraId="366DF612" w14:textId="77777777" w:rsidR="004D47AF" w:rsidRDefault="004D47AF" w:rsidP="004D47AF">
      <w:pPr>
        <w:autoSpaceDE w:val="0"/>
        <w:autoSpaceDN w:val="0"/>
        <w:adjustRightInd w:val="0"/>
        <w:spacing w:after="0" w:line="240" w:lineRule="auto"/>
        <w:rPr>
          <w:rFonts w:ascii="Arial" w:eastAsiaTheme="minorEastAsia" w:hAnsi="Arial" w:cs="Arial"/>
          <w:bCs/>
        </w:rPr>
      </w:pPr>
    </w:p>
    <w:p w14:paraId="11734062" w14:textId="69DD373A" w:rsidR="00335B87" w:rsidRDefault="00335B87" w:rsidP="004D47AF">
      <w:pPr>
        <w:autoSpaceDE w:val="0"/>
        <w:autoSpaceDN w:val="0"/>
        <w:adjustRightInd w:val="0"/>
        <w:spacing w:after="0" w:line="240" w:lineRule="auto"/>
        <w:rPr>
          <w:rFonts w:ascii="Arial" w:hAnsi="Arial" w:cs="Arial"/>
        </w:rPr>
      </w:pPr>
      <w:r w:rsidRPr="008328A3">
        <w:rPr>
          <w:rFonts w:ascii="Arial" w:hAnsi="Arial" w:cs="Arial"/>
        </w:rPr>
        <w:t>Super,</w:t>
      </w:r>
      <w:r w:rsidR="00A40FC2">
        <w:rPr>
          <w:rFonts w:ascii="Arial" w:hAnsi="Arial" w:cs="Arial"/>
        </w:rPr>
        <w:t xml:space="preserve"> D.E., Savickas, M.L. &amp; Super, C.M.</w:t>
      </w:r>
      <w:r w:rsidRPr="008328A3">
        <w:rPr>
          <w:rFonts w:ascii="Arial" w:hAnsi="Arial" w:cs="Arial"/>
        </w:rPr>
        <w:t xml:space="preserve"> </w:t>
      </w:r>
      <w:r>
        <w:rPr>
          <w:rFonts w:ascii="Arial" w:hAnsi="Arial" w:cs="Arial"/>
        </w:rPr>
        <w:t>(</w:t>
      </w:r>
      <w:r w:rsidR="00A40FC2">
        <w:rPr>
          <w:rFonts w:ascii="Arial" w:hAnsi="Arial" w:cs="Arial"/>
        </w:rPr>
        <w:t>1996</w:t>
      </w:r>
      <w:r>
        <w:rPr>
          <w:rFonts w:ascii="Arial" w:hAnsi="Arial" w:cs="Arial"/>
        </w:rPr>
        <w:t>)</w:t>
      </w:r>
      <w:r w:rsidR="00A40FC2">
        <w:rPr>
          <w:rFonts w:ascii="Arial" w:hAnsi="Arial" w:cs="Arial"/>
        </w:rPr>
        <w:t xml:space="preserve">.  The life-span, life-space approach to careers.  In D. Brown and L. Brooks (Eds.), </w:t>
      </w:r>
      <w:r w:rsidR="00A40FC2" w:rsidRPr="00A40FC2">
        <w:rPr>
          <w:rFonts w:ascii="Arial" w:hAnsi="Arial" w:cs="Arial"/>
          <w:i/>
        </w:rPr>
        <w:t>Career Choice and Development</w:t>
      </w:r>
      <w:r w:rsidR="00A40FC2">
        <w:rPr>
          <w:rFonts w:ascii="Arial" w:hAnsi="Arial" w:cs="Arial"/>
        </w:rPr>
        <w:t xml:space="preserve"> (3</w:t>
      </w:r>
      <w:r w:rsidR="00A40FC2" w:rsidRPr="00A40FC2">
        <w:rPr>
          <w:rFonts w:ascii="Arial" w:hAnsi="Arial" w:cs="Arial"/>
          <w:vertAlign w:val="superscript"/>
        </w:rPr>
        <w:t>rd</w:t>
      </w:r>
      <w:r w:rsidR="00A40FC2">
        <w:rPr>
          <w:rFonts w:ascii="Arial" w:hAnsi="Arial" w:cs="Arial"/>
        </w:rPr>
        <w:t xml:space="preserve"> Ed., pp. 121-178). San Francisco: Jossey-Bass. </w:t>
      </w:r>
    </w:p>
    <w:p w14:paraId="070F1D21" w14:textId="77777777" w:rsidR="00A40FC2" w:rsidRDefault="00A40FC2" w:rsidP="004D47AF">
      <w:pPr>
        <w:autoSpaceDE w:val="0"/>
        <w:autoSpaceDN w:val="0"/>
        <w:adjustRightInd w:val="0"/>
        <w:spacing w:after="0" w:line="240" w:lineRule="auto"/>
        <w:rPr>
          <w:rFonts w:ascii="Arial" w:hAnsi="Arial" w:cs="Arial"/>
        </w:rPr>
      </w:pPr>
    </w:p>
    <w:p w14:paraId="7BE9C47D" w14:textId="6B7EDDAC" w:rsidR="0081491E" w:rsidRDefault="0081491E" w:rsidP="004866D1">
      <w:pPr>
        <w:autoSpaceDE w:val="0"/>
        <w:autoSpaceDN w:val="0"/>
        <w:adjustRightInd w:val="0"/>
        <w:spacing w:after="0" w:line="240" w:lineRule="auto"/>
        <w:rPr>
          <w:rFonts w:ascii="Arial" w:eastAsiaTheme="minorEastAsia" w:hAnsi="Arial" w:cs="Arial"/>
        </w:rPr>
      </w:pPr>
      <w:r w:rsidRPr="0036624D">
        <w:rPr>
          <w:rFonts w:ascii="Arial" w:eastAsiaTheme="minorEastAsia" w:hAnsi="Arial" w:cs="Arial"/>
        </w:rPr>
        <w:t xml:space="preserve">Zhou, Y. &amp; Volkwein, J. (2004). Examining the influence on faculty departure intentions: A comparison of tenured versus non-tenured faculty at research universities using NSOPF-99. </w:t>
      </w:r>
      <w:r w:rsidRPr="0036624D">
        <w:rPr>
          <w:rFonts w:ascii="Arial" w:eastAsiaTheme="minorEastAsia" w:hAnsi="Arial" w:cs="Arial"/>
          <w:i/>
          <w:iCs/>
        </w:rPr>
        <w:t>Research in Higher Education, 45</w:t>
      </w:r>
      <w:r w:rsidRPr="0036624D">
        <w:rPr>
          <w:rFonts w:ascii="Arial" w:eastAsiaTheme="minorEastAsia" w:hAnsi="Arial" w:cs="Arial"/>
        </w:rPr>
        <w:t>(2), 139-176</w:t>
      </w:r>
      <w:r w:rsidR="00943B2F">
        <w:rPr>
          <w:rFonts w:ascii="Arial" w:eastAsiaTheme="minorEastAsia" w:hAnsi="Arial" w:cs="Arial"/>
        </w:rPr>
        <w:t xml:space="preserve">.  DOI: </w:t>
      </w:r>
      <w:r w:rsidR="00943B2F" w:rsidRPr="00943B2F">
        <w:rPr>
          <w:rFonts w:ascii="Arial" w:eastAsiaTheme="minorEastAsia" w:hAnsi="Arial" w:cs="Arial"/>
        </w:rPr>
        <w:t>10.1023/B:RIHE.0000015693.38603.4c</w:t>
      </w:r>
    </w:p>
    <w:p w14:paraId="7870DA95" w14:textId="77777777" w:rsidR="0036624D" w:rsidRDefault="0036624D" w:rsidP="004866D1">
      <w:pPr>
        <w:autoSpaceDE w:val="0"/>
        <w:autoSpaceDN w:val="0"/>
        <w:adjustRightInd w:val="0"/>
        <w:spacing w:after="0" w:line="240" w:lineRule="auto"/>
        <w:rPr>
          <w:rFonts w:ascii="Arial" w:eastAsiaTheme="minorEastAsia" w:hAnsi="Arial" w:cs="Arial"/>
        </w:rPr>
      </w:pPr>
    </w:p>
    <w:p w14:paraId="1C7E861C" w14:textId="7D5FBFDA" w:rsidR="0036624D" w:rsidRDefault="00335B87" w:rsidP="00755713">
      <w:pPr>
        <w:autoSpaceDE w:val="0"/>
        <w:autoSpaceDN w:val="0"/>
        <w:adjustRightInd w:val="0"/>
        <w:spacing w:after="0" w:line="240" w:lineRule="auto"/>
        <w:outlineLvl w:val="0"/>
        <w:rPr>
          <w:rFonts w:ascii="Arial" w:hAnsi="Arial" w:cs="Arial"/>
        </w:rPr>
      </w:pPr>
      <w:r w:rsidRPr="008328A3">
        <w:rPr>
          <w:rFonts w:ascii="Arial" w:hAnsi="Arial" w:cs="Arial"/>
        </w:rPr>
        <w:t>Vander Zanden</w:t>
      </w:r>
      <w:r w:rsidR="00A40FC2">
        <w:rPr>
          <w:rFonts w:ascii="Arial" w:hAnsi="Arial" w:cs="Arial"/>
        </w:rPr>
        <w:t>, J.W.</w:t>
      </w:r>
      <w:r w:rsidRPr="008328A3">
        <w:rPr>
          <w:rFonts w:ascii="Arial" w:hAnsi="Arial" w:cs="Arial"/>
        </w:rPr>
        <w:t xml:space="preserve"> (2000)</w:t>
      </w:r>
      <w:r w:rsidR="00A40FC2">
        <w:rPr>
          <w:rFonts w:ascii="Arial" w:hAnsi="Arial" w:cs="Arial"/>
        </w:rPr>
        <w:t xml:space="preserve">. </w:t>
      </w:r>
      <w:r w:rsidR="00A40FC2" w:rsidRPr="00A40FC2">
        <w:rPr>
          <w:rFonts w:ascii="Arial" w:hAnsi="Arial" w:cs="Arial"/>
          <w:i/>
        </w:rPr>
        <w:t>Human Development</w:t>
      </w:r>
      <w:r w:rsidR="00A40FC2">
        <w:rPr>
          <w:rFonts w:ascii="Arial" w:hAnsi="Arial" w:cs="Arial"/>
        </w:rPr>
        <w:t xml:space="preserve"> (7</w:t>
      </w:r>
      <w:r w:rsidR="00A40FC2" w:rsidRPr="00A40FC2">
        <w:rPr>
          <w:rFonts w:ascii="Arial" w:hAnsi="Arial" w:cs="Arial"/>
          <w:vertAlign w:val="superscript"/>
        </w:rPr>
        <w:t>th</w:t>
      </w:r>
      <w:r w:rsidR="00A40FC2">
        <w:rPr>
          <w:rFonts w:ascii="Arial" w:hAnsi="Arial" w:cs="Arial"/>
        </w:rPr>
        <w:t xml:space="preserve"> ed.) Boston: McGraw-Hill. </w:t>
      </w:r>
    </w:p>
    <w:p w14:paraId="72388553" w14:textId="77777777" w:rsidR="00A40FC2" w:rsidRDefault="00A40FC2" w:rsidP="004866D1">
      <w:pPr>
        <w:autoSpaceDE w:val="0"/>
        <w:autoSpaceDN w:val="0"/>
        <w:adjustRightInd w:val="0"/>
        <w:spacing w:after="0" w:line="240" w:lineRule="auto"/>
        <w:rPr>
          <w:rFonts w:ascii="Arial" w:eastAsiaTheme="minorEastAsia" w:hAnsi="Arial" w:cs="Arial"/>
        </w:rPr>
      </w:pPr>
    </w:p>
    <w:p w14:paraId="3CEB9CF0" w14:textId="502EADB4" w:rsidR="0036624D" w:rsidRDefault="0036624D" w:rsidP="004866D1">
      <w:pPr>
        <w:autoSpaceDE w:val="0"/>
        <w:autoSpaceDN w:val="0"/>
        <w:adjustRightInd w:val="0"/>
        <w:spacing w:after="0" w:line="240" w:lineRule="auto"/>
        <w:rPr>
          <w:rFonts w:ascii="Arial" w:eastAsiaTheme="minorEastAsia" w:hAnsi="Arial" w:cs="Arial"/>
        </w:rPr>
      </w:pPr>
    </w:p>
    <w:p w14:paraId="4B2C1896" w14:textId="40C71DB6" w:rsidR="00132EAE" w:rsidRDefault="00132EAE">
      <w:pPr>
        <w:spacing w:after="0" w:line="240" w:lineRule="auto"/>
        <w:rPr>
          <w:rFonts w:ascii="Arial" w:eastAsiaTheme="minorEastAsia" w:hAnsi="Arial" w:cs="Arial"/>
        </w:rPr>
      </w:pPr>
      <w:r>
        <w:rPr>
          <w:rFonts w:ascii="Arial" w:eastAsiaTheme="minorEastAsia" w:hAnsi="Arial" w:cs="Arial"/>
        </w:rPr>
        <w:br w:type="page"/>
      </w:r>
    </w:p>
    <w:p w14:paraId="4208976F" w14:textId="2844E724" w:rsidR="00132EAE" w:rsidRDefault="00045B62" w:rsidP="00132EAE">
      <w:pPr>
        <w:autoSpaceDE w:val="0"/>
        <w:autoSpaceDN w:val="0"/>
        <w:adjustRightInd w:val="0"/>
        <w:spacing w:after="0" w:line="240" w:lineRule="auto"/>
        <w:jc w:val="center"/>
        <w:rPr>
          <w:rFonts w:ascii="Arial" w:eastAsiaTheme="minorEastAsia" w:hAnsi="Arial" w:cs="Arial"/>
          <w:b/>
        </w:rPr>
      </w:pPr>
      <w:r>
        <w:rPr>
          <w:rFonts w:ascii="Arial" w:eastAsiaTheme="minorEastAsia" w:hAnsi="Arial" w:cs="Arial"/>
          <w:b/>
        </w:rPr>
        <w:lastRenderedPageBreak/>
        <w:t xml:space="preserve">Appendix A: </w:t>
      </w:r>
      <w:r w:rsidR="00132EAE" w:rsidRPr="0036624D">
        <w:rPr>
          <w:rFonts w:ascii="Arial" w:eastAsiaTheme="minorEastAsia" w:hAnsi="Arial" w:cs="Arial"/>
          <w:b/>
        </w:rPr>
        <w:t>Forms and Resources for the Session</w:t>
      </w:r>
    </w:p>
    <w:p w14:paraId="3064A12B" w14:textId="77777777" w:rsidR="00132EAE" w:rsidRDefault="00132EAE" w:rsidP="00132EAE">
      <w:pPr>
        <w:spacing w:after="0" w:line="240" w:lineRule="auto"/>
        <w:jc w:val="center"/>
        <w:rPr>
          <w:rFonts w:ascii="Arial" w:eastAsiaTheme="minorEastAsia" w:hAnsi="Arial" w:cs="Arial"/>
          <w:b/>
        </w:rPr>
      </w:pPr>
      <w:r w:rsidRPr="006E61E9">
        <w:rPr>
          <w:rFonts w:ascii="Arial" w:eastAsiaTheme="minorEastAsia" w:hAnsi="Arial" w:cs="Arial"/>
          <w:b/>
        </w:rPr>
        <w:t xml:space="preserve">Form </w:t>
      </w:r>
      <w:r>
        <w:rPr>
          <w:rFonts w:ascii="Arial" w:eastAsiaTheme="minorEastAsia" w:hAnsi="Arial" w:cs="Arial"/>
          <w:b/>
        </w:rPr>
        <w:t>we will use in Section 3 of Session</w:t>
      </w:r>
    </w:p>
    <w:p w14:paraId="1F87CB9C" w14:textId="77777777" w:rsidR="00132EAE" w:rsidRPr="006E61E9" w:rsidRDefault="00132EAE" w:rsidP="00132EAE">
      <w:pPr>
        <w:spacing w:after="0" w:line="240" w:lineRule="auto"/>
        <w:jc w:val="center"/>
        <w:rPr>
          <w:rFonts w:ascii="Arial" w:eastAsiaTheme="minorEastAsia" w:hAnsi="Arial" w:cs="Arial"/>
          <w:b/>
        </w:rPr>
      </w:pPr>
      <w:r>
        <w:rPr>
          <w:rFonts w:ascii="Arial" w:eastAsiaTheme="minorEastAsia" w:hAnsi="Arial" w:cs="Arial"/>
          <w:b/>
        </w:rPr>
        <w:t>Evaluating Your</w:t>
      </w:r>
      <w:r w:rsidRPr="006E61E9">
        <w:rPr>
          <w:rFonts w:ascii="Arial" w:eastAsiaTheme="minorEastAsia" w:hAnsi="Arial" w:cs="Arial"/>
          <w:b/>
        </w:rPr>
        <w:t xml:space="preserve"> Organizational Environment</w:t>
      </w:r>
    </w:p>
    <w:tbl>
      <w:tblPr>
        <w:tblStyle w:val="TableGrid1"/>
        <w:tblW w:w="5000" w:type="pct"/>
        <w:tblLook w:val="04A0" w:firstRow="1" w:lastRow="0" w:firstColumn="1" w:lastColumn="0" w:noHBand="0" w:noVBand="1"/>
      </w:tblPr>
      <w:tblGrid>
        <w:gridCol w:w="2335"/>
        <w:gridCol w:w="6295"/>
      </w:tblGrid>
      <w:tr w:rsidR="00132EAE" w:rsidRPr="0052616B" w14:paraId="6FF9C687" w14:textId="77777777" w:rsidTr="0035749C">
        <w:tc>
          <w:tcPr>
            <w:tcW w:w="1353" w:type="pct"/>
          </w:tcPr>
          <w:p w14:paraId="4C076EEE" w14:textId="77777777" w:rsidR="00132EAE" w:rsidRPr="0052616B" w:rsidRDefault="00132EAE" w:rsidP="0035749C">
            <w:pPr>
              <w:spacing w:after="0" w:line="240" w:lineRule="auto"/>
              <w:rPr>
                <w:b/>
              </w:rPr>
            </w:pPr>
            <w:r w:rsidRPr="0052616B">
              <w:rPr>
                <w:b/>
              </w:rPr>
              <w:t>Question</w:t>
            </w:r>
          </w:p>
        </w:tc>
        <w:tc>
          <w:tcPr>
            <w:tcW w:w="3647" w:type="pct"/>
          </w:tcPr>
          <w:p w14:paraId="54377E6C" w14:textId="77777777" w:rsidR="00132EAE" w:rsidRPr="0052616B" w:rsidRDefault="00132EAE" w:rsidP="0035749C">
            <w:pPr>
              <w:spacing w:after="0" w:line="240" w:lineRule="auto"/>
              <w:rPr>
                <w:b/>
              </w:rPr>
            </w:pPr>
            <w:r w:rsidRPr="0052616B">
              <w:rPr>
                <w:b/>
              </w:rPr>
              <w:t>Answer</w:t>
            </w:r>
          </w:p>
        </w:tc>
      </w:tr>
      <w:tr w:rsidR="00132EAE" w:rsidRPr="0052616B" w14:paraId="488267DB" w14:textId="77777777" w:rsidTr="00045B62">
        <w:trPr>
          <w:trHeight w:val="3095"/>
        </w:trPr>
        <w:tc>
          <w:tcPr>
            <w:tcW w:w="1353" w:type="pct"/>
            <w:vAlign w:val="center"/>
          </w:tcPr>
          <w:p w14:paraId="5C422C51" w14:textId="77777777" w:rsidR="00132EAE" w:rsidRPr="00CF7609" w:rsidRDefault="00132EAE" w:rsidP="00132EAE">
            <w:pPr>
              <w:pStyle w:val="ListParagraph"/>
              <w:numPr>
                <w:ilvl w:val="0"/>
                <w:numId w:val="5"/>
              </w:numPr>
              <w:spacing w:after="0" w:line="240" w:lineRule="auto"/>
              <w:ind w:left="0" w:firstLine="360"/>
            </w:pPr>
            <w:r w:rsidRPr="00CF7609">
              <w:t xml:space="preserve">Think about what your current employer was like when you first started with this employer.  What elements of the culture and job did you enjoy most and led you to accepting this position.  </w:t>
            </w:r>
          </w:p>
        </w:tc>
        <w:tc>
          <w:tcPr>
            <w:tcW w:w="3647" w:type="pct"/>
          </w:tcPr>
          <w:p w14:paraId="71AB0241" w14:textId="77777777" w:rsidR="00132EAE" w:rsidRPr="0052616B" w:rsidRDefault="00132EAE" w:rsidP="0035749C">
            <w:pPr>
              <w:spacing w:after="0" w:line="240" w:lineRule="auto"/>
            </w:pPr>
          </w:p>
        </w:tc>
      </w:tr>
    </w:tbl>
    <w:p w14:paraId="4DD71A4B" w14:textId="77777777" w:rsidR="00132EAE" w:rsidRPr="0052616B" w:rsidRDefault="00132EAE" w:rsidP="00132EAE">
      <w:pPr>
        <w:spacing w:after="0" w:line="240" w:lineRule="auto"/>
        <w:jc w:val="both"/>
        <w:rPr>
          <w:rFonts w:ascii="Times New Roman" w:hAnsi="Times New Roman"/>
          <w:sz w:val="24"/>
        </w:rPr>
      </w:pPr>
    </w:p>
    <w:p w14:paraId="50189200" w14:textId="77777777" w:rsidR="00132EAE" w:rsidRDefault="00132EAE" w:rsidP="00132EAE">
      <w:pPr>
        <w:pStyle w:val="ListParagraph"/>
        <w:numPr>
          <w:ilvl w:val="0"/>
          <w:numId w:val="5"/>
        </w:numPr>
        <w:spacing w:after="0" w:line="240" w:lineRule="auto"/>
        <w:jc w:val="both"/>
        <w:rPr>
          <w:rFonts w:ascii="Times New Roman" w:hAnsi="Times New Roman"/>
          <w:sz w:val="24"/>
        </w:rPr>
      </w:pPr>
      <w:r>
        <w:rPr>
          <w:rFonts w:ascii="Times New Roman" w:hAnsi="Times New Roman"/>
          <w:sz w:val="24"/>
        </w:rPr>
        <w:t xml:space="preserve">Looking at your list above, which elements do you still enjoy at this career stage? </w:t>
      </w:r>
    </w:p>
    <w:p w14:paraId="59A5F346" w14:textId="77777777" w:rsidR="00132EAE" w:rsidRDefault="00132EAE" w:rsidP="00132EAE">
      <w:pPr>
        <w:spacing w:after="0" w:line="240" w:lineRule="auto"/>
        <w:jc w:val="both"/>
        <w:rPr>
          <w:rFonts w:ascii="Times New Roman" w:hAnsi="Times New Roman"/>
          <w:sz w:val="24"/>
        </w:rPr>
      </w:pPr>
    </w:p>
    <w:tbl>
      <w:tblPr>
        <w:tblStyle w:val="TableGrid1"/>
        <w:tblW w:w="0" w:type="auto"/>
        <w:tblLook w:val="04A0" w:firstRow="1" w:lastRow="0" w:firstColumn="1" w:lastColumn="0" w:noHBand="0" w:noVBand="1"/>
      </w:tblPr>
      <w:tblGrid>
        <w:gridCol w:w="2515"/>
        <w:gridCol w:w="6115"/>
      </w:tblGrid>
      <w:tr w:rsidR="00132EAE" w:rsidRPr="0052616B" w14:paraId="36083092" w14:textId="77777777" w:rsidTr="0035749C">
        <w:tc>
          <w:tcPr>
            <w:tcW w:w="2515" w:type="dxa"/>
          </w:tcPr>
          <w:p w14:paraId="4E72A623" w14:textId="77777777" w:rsidR="00132EAE" w:rsidRPr="0052616B" w:rsidRDefault="00132EAE" w:rsidP="0035749C">
            <w:pPr>
              <w:spacing w:after="0" w:line="240" w:lineRule="auto"/>
              <w:rPr>
                <w:b/>
              </w:rPr>
            </w:pPr>
            <w:r w:rsidRPr="0052616B">
              <w:rPr>
                <w:b/>
              </w:rPr>
              <w:t>Question</w:t>
            </w:r>
          </w:p>
        </w:tc>
        <w:tc>
          <w:tcPr>
            <w:tcW w:w="6115" w:type="dxa"/>
          </w:tcPr>
          <w:p w14:paraId="1F5C6129" w14:textId="77777777" w:rsidR="00132EAE" w:rsidRPr="0052616B" w:rsidRDefault="00132EAE" w:rsidP="0035749C">
            <w:pPr>
              <w:spacing w:after="0" w:line="240" w:lineRule="auto"/>
              <w:rPr>
                <w:b/>
              </w:rPr>
            </w:pPr>
            <w:r w:rsidRPr="0052616B">
              <w:rPr>
                <w:b/>
              </w:rPr>
              <w:t>Answer</w:t>
            </w:r>
          </w:p>
        </w:tc>
      </w:tr>
      <w:tr w:rsidR="00132EAE" w:rsidRPr="0052616B" w14:paraId="738A980F" w14:textId="77777777" w:rsidTr="00045B62">
        <w:trPr>
          <w:trHeight w:val="1925"/>
        </w:trPr>
        <w:tc>
          <w:tcPr>
            <w:tcW w:w="2515" w:type="dxa"/>
            <w:vAlign w:val="center"/>
          </w:tcPr>
          <w:p w14:paraId="733C203C" w14:textId="44F9069D" w:rsidR="00132EAE" w:rsidRPr="00CF7609" w:rsidRDefault="00132EAE" w:rsidP="00045B62">
            <w:pPr>
              <w:pStyle w:val="ListParagraph"/>
              <w:numPr>
                <w:ilvl w:val="0"/>
                <w:numId w:val="5"/>
              </w:numPr>
              <w:spacing w:after="0" w:line="240" w:lineRule="auto"/>
              <w:ind w:left="0" w:firstLine="360"/>
              <w:jc w:val="left"/>
            </w:pPr>
            <w:r w:rsidRPr="00CF7609">
              <w:t xml:space="preserve">Think about your current employer </w:t>
            </w:r>
            <w:r>
              <w:t xml:space="preserve">today.  </w:t>
            </w:r>
            <w:r w:rsidRPr="00CF7609">
              <w:t>What elements of the culture and job d</w:t>
            </w:r>
            <w:r>
              <w:t xml:space="preserve">o you enjoy most?  </w:t>
            </w:r>
            <w:r w:rsidRPr="00CF7609">
              <w:t xml:space="preserve">  </w:t>
            </w:r>
          </w:p>
        </w:tc>
        <w:tc>
          <w:tcPr>
            <w:tcW w:w="6115" w:type="dxa"/>
          </w:tcPr>
          <w:p w14:paraId="64AD9DC6" w14:textId="77777777" w:rsidR="00132EAE" w:rsidRPr="0052616B" w:rsidRDefault="00132EAE" w:rsidP="0035749C">
            <w:pPr>
              <w:spacing w:after="0" w:line="240" w:lineRule="auto"/>
            </w:pPr>
          </w:p>
        </w:tc>
      </w:tr>
      <w:tr w:rsidR="00132EAE" w:rsidRPr="0052616B" w14:paraId="0B16B4B6" w14:textId="77777777" w:rsidTr="00045B62">
        <w:trPr>
          <w:trHeight w:val="3050"/>
        </w:trPr>
        <w:tc>
          <w:tcPr>
            <w:tcW w:w="2515" w:type="dxa"/>
            <w:vAlign w:val="center"/>
          </w:tcPr>
          <w:p w14:paraId="0B90A0DE" w14:textId="18B0E8F8" w:rsidR="00132EAE" w:rsidRPr="00CF7609" w:rsidRDefault="00132EAE" w:rsidP="00045B62">
            <w:pPr>
              <w:pStyle w:val="ListParagraph"/>
              <w:numPr>
                <w:ilvl w:val="0"/>
                <w:numId w:val="5"/>
              </w:numPr>
              <w:spacing w:after="0" w:line="240" w:lineRule="auto"/>
              <w:ind w:left="0" w:firstLine="360"/>
            </w:pPr>
            <w:r>
              <w:t>Still thinking</w:t>
            </w:r>
            <w:r w:rsidRPr="00CF7609">
              <w:t xml:space="preserve"> about your current employer today</w:t>
            </w:r>
            <w:r>
              <w:t xml:space="preserve">, Are there elements </w:t>
            </w:r>
            <w:r w:rsidRPr="00CF7609">
              <w:t>of the culture and job</w:t>
            </w:r>
            <w:r>
              <w:t xml:space="preserve"> that</w:t>
            </w:r>
            <w:r w:rsidR="00045B62">
              <w:t xml:space="preserve"> have changed over time that have</w:t>
            </w:r>
            <w:r>
              <w:t xml:space="preserve"> made you change your impression of your employer? (Positive &amp; Negative)</w:t>
            </w:r>
            <w:r w:rsidRPr="00CF7609">
              <w:t xml:space="preserve"> </w:t>
            </w:r>
          </w:p>
        </w:tc>
        <w:tc>
          <w:tcPr>
            <w:tcW w:w="6115" w:type="dxa"/>
          </w:tcPr>
          <w:p w14:paraId="46782B02" w14:textId="77777777" w:rsidR="00132EAE" w:rsidRPr="0052616B" w:rsidRDefault="00132EAE" w:rsidP="0035749C">
            <w:pPr>
              <w:spacing w:after="0" w:line="240" w:lineRule="auto"/>
            </w:pPr>
          </w:p>
        </w:tc>
      </w:tr>
      <w:tr w:rsidR="00132EAE" w:rsidRPr="0052616B" w14:paraId="1468E1D0" w14:textId="77777777" w:rsidTr="00045B62">
        <w:trPr>
          <w:trHeight w:val="1880"/>
        </w:trPr>
        <w:tc>
          <w:tcPr>
            <w:tcW w:w="2515" w:type="dxa"/>
            <w:vAlign w:val="center"/>
          </w:tcPr>
          <w:p w14:paraId="011F5A73" w14:textId="77777777" w:rsidR="00132EAE" w:rsidRDefault="00132EAE" w:rsidP="00132EAE">
            <w:pPr>
              <w:pStyle w:val="ListParagraph"/>
              <w:numPr>
                <w:ilvl w:val="0"/>
                <w:numId w:val="5"/>
              </w:numPr>
              <w:spacing w:after="0" w:line="240" w:lineRule="auto"/>
              <w:ind w:left="0" w:firstLine="360"/>
            </w:pPr>
            <w:r>
              <w:t xml:space="preserve">If you could design the perfect position for you, what would it look like? </w:t>
            </w:r>
          </w:p>
        </w:tc>
        <w:tc>
          <w:tcPr>
            <w:tcW w:w="6115" w:type="dxa"/>
          </w:tcPr>
          <w:p w14:paraId="2ADDA753" w14:textId="77777777" w:rsidR="00132EAE" w:rsidRPr="0052616B" w:rsidRDefault="00132EAE" w:rsidP="0035749C">
            <w:pPr>
              <w:spacing w:after="0" w:line="240" w:lineRule="auto"/>
            </w:pPr>
          </w:p>
        </w:tc>
      </w:tr>
    </w:tbl>
    <w:p w14:paraId="16ABB28F" w14:textId="77777777" w:rsidR="00132EAE" w:rsidRPr="0052616B" w:rsidRDefault="00132EAE" w:rsidP="00132EAE">
      <w:pPr>
        <w:spacing w:after="0" w:line="240" w:lineRule="auto"/>
        <w:jc w:val="both"/>
        <w:rPr>
          <w:rFonts w:ascii="Times New Roman" w:hAnsi="Times New Roman"/>
          <w:sz w:val="24"/>
        </w:rPr>
      </w:pPr>
    </w:p>
    <w:p w14:paraId="53EDC671" w14:textId="77777777" w:rsidR="00132EAE" w:rsidRDefault="00132EAE" w:rsidP="00132EAE">
      <w:pPr>
        <w:spacing w:after="0" w:line="240" w:lineRule="auto"/>
        <w:rPr>
          <w:rFonts w:ascii="Arial" w:eastAsiaTheme="minorEastAsia" w:hAnsi="Arial" w:cs="Arial"/>
        </w:rPr>
      </w:pPr>
    </w:p>
    <w:p w14:paraId="63E2BEDE" w14:textId="77777777" w:rsidR="00132EAE" w:rsidRDefault="00132EAE" w:rsidP="00132EAE">
      <w:pPr>
        <w:spacing w:after="0" w:line="240" w:lineRule="auto"/>
        <w:rPr>
          <w:rFonts w:ascii="Arial" w:eastAsiaTheme="minorEastAsia" w:hAnsi="Arial" w:cs="Arial"/>
        </w:rPr>
      </w:pPr>
      <w:r>
        <w:rPr>
          <w:rFonts w:ascii="Arial" w:eastAsiaTheme="minorEastAsia" w:hAnsi="Arial" w:cs="Arial"/>
        </w:rPr>
        <w:br w:type="page"/>
      </w:r>
    </w:p>
    <w:p w14:paraId="0CC13CB1" w14:textId="77777777" w:rsidR="00132EAE" w:rsidRDefault="00132EAE" w:rsidP="00132EAE">
      <w:pPr>
        <w:spacing w:after="0" w:line="240" w:lineRule="auto"/>
        <w:rPr>
          <w:rFonts w:ascii="Arial" w:eastAsiaTheme="minorEastAsia" w:hAnsi="Arial" w:cs="Arial"/>
        </w:rPr>
      </w:pPr>
    </w:p>
    <w:p w14:paraId="6C42174F" w14:textId="77777777" w:rsidR="00132EAE" w:rsidRDefault="00132EAE" w:rsidP="00132EAE">
      <w:pPr>
        <w:autoSpaceDE w:val="0"/>
        <w:autoSpaceDN w:val="0"/>
        <w:adjustRightInd w:val="0"/>
        <w:spacing w:after="0" w:line="240" w:lineRule="auto"/>
        <w:rPr>
          <w:rFonts w:ascii="Arial" w:eastAsiaTheme="minorEastAsia" w:hAnsi="Arial" w:cs="Arial"/>
        </w:rPr>
      </w:pPr>
    </w:p>
    <w:p w14:paraId="3E8516B4" w14:textId="7DB1505D" w:rsidR="00132EAE" w:rsidRDefault="00045B62" w:rsidP="00132EAE">
      <w:pPr>
        <w:autoSpaceDE w:val="0"/>
        <w:autoSpaceDN w:val="0"/>
        <w:adjustRightInd w:val="0"/>
        <w:spacing w:after="0" w:line="240" w:lineRule="auto"/>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59264" behindDoc="0" locked="0" layoutInCell="1" allowOverlap="1" wp14:anchorId="16650D1A" wp14:editId="1B22AB02">
                <wp:simplePos x="0" y="0"/>
                <wp:positionH relativeFrom="column">
                  <wp:posOffset>171450</wp:posOffset>
                </wp:positionH>
                <wp:positionV relativeFrom="paragraph">
                  <wp:posOffset>116840</wp:posOffset>
                </wp:positionV>
                <wp:extent cx="647700" cy="247650"/>
                <wp:effectExtent l="57150" t="19050" r="57150" b="76200"/>
                <wp:wrapNone/>
                <wp:docPr id="3" name="Rectangle 3"/>
                <wp:cNvGraphicFramePr/>
                <a:graphic xmlns:a="http://schemas.openxmlformats.org/drawingml/2006/main">
                  <a:graphicData uri="http://schemas.microsoft.com/office/word/2010/wordprocessingShape">
                    <wps:wsp>
                      <wps:cNvSpPr/>
                      <wps:spPr>
                        <a:xfrm>
                          <a:off x="0" y="0"/>
                          <a:ext cx="647700" cy="24765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3D49F" id="Rectangle 3" o:spid="_x0000_s1026" style="position:absolute;margin-left:13.5pt;margin-top:9.2pt;width:51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" fillcolor="white [3212]" stroked="f">
                <v:shadow on="t" color="black" opacity="22937f" origin=",.5" offset="0,.63889mm"/>
              </v:rect>
            </w:pict>
          </mc:Fallback>
        </mc:AlternateContent>
      </w:r>
    </w:p>
    <w:p w14:paraId="12C4CB8A" w14:textId="77777777" w:rsidR="00132EAE" w:rsidRPr="00045B62" w:rsidRDefault="00132EAE" w:rsidP="00132EAE">
      <w:pPr>
        <w:autoSpaceDE w:val="0"/>
        <w:autoSpaceDN w:val="0"/>
        <w:adjustRightInd w:val="0"/>
        <w:spacing w:after="0" w:line="240" w:lineRule="auto"/>
        <w:jc w:val="center"/>
        <w:rPr>
          <w:rFonts w:ascii="Arial" w:eastAsiaTheme="minorEastAsia" w:hAnsi="Arial" w:cs="Arial"/>
          <w14:glow w14:rad="0">
            <w14:schemeClr w14:val="bg1"/>
          </w14:glow>
          <w14:textFill>
            <w14:noFill/>
          </w14:textFill>
        </w:rPr>
      </w:pPr>
      <w:r>
        <w:rPr>
          <w:noProof/>
        </w:rPr>
        <w:drawing>
          <wp:inline distT="0" distB="0" distL="0" distR="0" wp14:anchorId="21134BAE" wp14:editId="7C4B16D8">
            <wp:extent cx="5172075" cy="681358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5855" cy="6831743"/>
                    </a:xfrm>
                    <a:prstGeom prst="rect">
                      <a:avLst/>
                    </a:prstGeom>
                  </pic:spPr>
                </pic:pic>
              </a:graphicData>
            </a:graphic>
          </wp:inline>
        </w:drawing>
      </w:r>
    </w:p>
    <w:p w14:paraId="22C11FF0" w14:textId="1FB0BC7F" w:rsidR="00132EAE" w:rsidRDefault="00132EAE" w:rsidP="00132EAE">
      <w:pPr>
        <w:autoSpaceDE w:val="0"/>
        <w:autoSpaceDN w:val="0"/>
        <w:adjustRightInd w:val="0"/>
        <w:spacing w:after="0" w:line="240" w:lineRule="auto"/>
        <w:rPr>
          <w:rFonts w:ascii="Arial" w:eastAsiaTheme="minorEastAsia" w:hAnsi="Arial" w:cs="Arial"/>
          <w:bCs/>
        </w:rPr>
      </w:pPr>
      <w:r>
        <w:rPr>
          <w:rFonts w:ascii="Arial" w:eastAsiaTheme="minorEastAsia" w:hAnsi="Arial" w:cs="Arial"/>
        </w:rPr>
        <w:t xml:space="preserve">Source: </w:t>
      </w:r>
      <w:r>
        <w:rPr>
          <w:rFonts w:ascii="Arial" w:eastAsiaTheme="minorEastAsia" w:hAnsi="Arial" w:cs="Arial"/>
          <w:bCs/>
        </w:rPr>
        <w:t xml:space="preserve">Power, S.J. &amp; </w:t>
      </w:r>
      <w:r w:rsidRPr="004D47AF">
        <w:rPr>
          <w:rFonts w:ascii="Arial" w:eastAsiaTheme="minorEastAsia" w:hAnsi="Arial" w:cs="Arial"/>
          <w:bCs/>
        </w:rPr>
        <w:t>Rothausen</w:t>
      </w:r>
      <w:r>
        <w:rPr>
          <w:rFonts w:ascii="Arial" w:eastAsiaTheme="minorEastAsia" w:hAnsi="Arial" w:cs="Arial"/>
          <w:bCs/>
        </w:rPr>
        <w:t xml:space="preserve">, T.J. (2003) </w:t>
      </w:r>
      <w:r w:rsidRPr="004D47AF">
        <w:rPr>
          <w:rFonts w:ascii="Arial" w:eastAsiaTheme="minorEastAsia" w:hAnsi="Arial" w:cs="Arial"/>
          <w:bCs/>
        </w:rPr>
        <w:t>The Work-Oriented Midcareer Development Model: An Extension of Super's Maintenance Stage</w:t>
      </w:r>
      <w:r>
        <w:rPr>
          <w:rFonts w:ascii="Arial" w:eastAsiaTheme="minorEastAsia" w:hAnsi="Arial" w:cs="Arial"/>
          <w:bCs/>
        </w:rPr>
        <w:t xml:space="preserve">, </w:t>
      </w:r>
      <w:r w:rsidRPr="00A63EDE">
        <w:rPr>
          <w:rFonts w:ascii="Arial" w:eastAsiaTheme="minorEastAsia" w:hAnsi="Arial" w:cs="Arial"/>
          <w:bCs/>
          <w:i/>
        </w:rPr>
        <w:t>The Counseling Psychologist</w:t>
      </w:r>
      <w:r>
        <w:rPr>
          <w:rFonts w:ascii="Arial" w:eastAsiaTheme="minorEastAsia" w:hAnsi="Arial" w:cs="Arial"/>
          <w:bCs/>
        </w:rPr>
        <w:t xml:space="preserve">, </w:t>
      </w:r>
      <w:r w:rsidRPr="004D47AF">
        <w:rPr>
          <w:rFonts w:ascii="Arial" w:eastAsiaTheme="minorEastAsia" w:hAnsi="Arial" w:cs="Arial"/>
          <w:bCs/>
        </w:rPr>
        <w:t>31</w:t>
      </w:r>
      <w:r>
        <w:rPr>
          <w:rFonts w:ascii="Arial" w:eastAsiaTheme="minorEastAsia" w:hAnsi="Arial" w:cs="Arial"/>
          <w:bCs/>
        </w:rPr>
        <w:t xml:space="preserve">(2), </w:t>
      </w:r>
      <w:r w:rsidRPr="004D47AF">
        <w:rPr>
          <w:rFonts w:ascii="Arial" w:eastAsiaTheme="minorEastAsia" w:hAnsi="Arial" w:cs="Arial"/>
          <w:bCs/>
        </w:rPr>
        <w:t>157-197.</w:t>
      </w:r>
      <w:r w:rsidR="00045B62">
        <w:rPr>
          <w:rFonts w:ascii="Arial" w:eastAsiaTheme="minorEastAsia" w:hAnsi="Arial" w:cs="Arial"/>
          <w:bCs/>
        </w:rPr>
        <w:t xml:space="preserve"> </w:t>
      </w:r>
      <w:r w:rsidR="00943B2F">
        <w:rPr>
          <w:rFonts w:ascii="Arial" w:eastAsiaTheme="minorEastAsia" w:hAnsi="Arial" w:cs="Arial"/>
          <w:bCs/>
        </w:rPr>
        <w:t>DOI</w:t>
      </w:r>
      <w:r w:rsidR="00943B2F" w:rsidRPr="00943B2F">
        <w:rPr>
          <w:rFonts w:ascii="Arial" w:eastAsiaTheme="minorEastAsia" w:hAnsi="Arial" w:cs="Arial"/>
          <w:bCs/>
        </w:rPr>
        <w:t>: 10.1177/0011000002250479</w:t>
      </w:r>
    </w:p>
    <w:p w14:paraId="65F2F381" w14:textId="77777777" w:rsidR="00132EAE" w:rsidRDefault="00132EAE" w:rsidP="00132EAE">
      <w:pPr>
        <w:autoSpaceDE w:val="0"/>
        <w:autoSpaceDN w:val="0"/>
        <w:adjustRightInd w:val="0"/>
        <w:spacing w:after="0" w:line="240" w:lineRule="auto"/>
        <w:jc w:val="center"/>
        <w:rPr>
          <w:rFonts w:ascii="Arial" w:eastAsiaTheme="minorEastAsia" w:hAnsi="Arial" w:cs="Arial"/>
        </w:rPr>
      </w:pPr>
    </w:p>
    <w:p w14:paraId="34749A58" w14:textId="77777777" w:rsidR="00132EAE" w:rsidRDefault="00132EAE" w:rsidP="00132EAE">
      <w:pPr>
        <w:autoSpaceDE w:val="0"/>
        <w:autoSpaceDN w:val="0"/>
        <w:adjustRightInd w:val="0"/>
        <w:spacing w:after="0" w:line="240" w:lineRule="auto"/>
        <w:jc w:val="center"/>
        <w:rPr>
          <w:rFonts w:ascii="Arial" w:eastAsiaTheme="minorEastAsia" w:hAnsi="Arial" w:cs="Arial"/>
        </w:rPr>
      </w:pPr>
    </w:p>
    <w:sectPr w:rsidR="00132EAE" w:rsidSect="00DE1D0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D3A75" w14:textId="77777777" w:rsidR="00971DA0" w:rsidRDefault="00971DA0" w:rsidP="00971DA0">
      <w:pPr>
        <w:spacing w:after="0" w:line="240" w:lineRule="auto"/>
      </w:pPr>
      <w:r>
        <w:separator/>
      </w:r>
    </w:p>
  </w:endnote>
  <w:endnote w:type="continuationSeparator" w:id="0">
    <w:p w14:paraId="54D9B461" w14:textId="77777777" w:rsidR="00971DA0" w:rsidRDefault="00971DA0" w:rsidP="0097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7855" w14:textId="77777777" w:rsidR="00971DA0" w:rsidRDefault="00971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C07E4" w14:textId="77777777" w:rsidR="00971DA0" w:rsidRDefault="00971D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361C4" w14:textId="77777777" w:rsidR="00971DA0" w:rsidRDefault="00971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6D080" w14:textId="77777777" w:rsidR="00971DA0" w:rsidRDefault="00971DA0" w:rsidP="00971DA0">
      <w:pPr>
        <w:spacing w:after="0" w:line="240" w:lineRule="auto"/>
      </w:pPr>
      <w:r>
        <w:separator/>
      </w:r>
    </w:p>
  </w:footnote>
  <w:footnote w:type="continuationSeparator" w:id="0">
    <w:p w14:paraId="38E0D0E0" w14:textId="77777777" w:rsidR="00971DA0" w:rsidRDefault="00971DA0" w:rsidP="00971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CDBAE" w14:textId="77777777" w:rsidR="00971DA0" w:rsidRDefault="00971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5F66" w14:textId="77777777" w:rsidR="00971DA0" w:rsidRDefault="00971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0277" w14:textId="77777777" w:rsidR="00971DA0" w:rsidRDefault="00971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FA7"/>
    <w:multiLevelType w:val="hybridMultilevel"/>
    <w:tmpl w:val="088C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F3F40"/>
    <w:multiLevelType w:val="hybridMultilevel"/>
    <w:tmpl w:val="7AA0E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E1445"/>
    <w:multiLevelType w:val="hybridMultilevel"/>
    <w:tmpl w:val="BCEC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23ED6"/>
    <w:multiLevelType w:val="hybridMultilevel"/>
    <w:tmpl w:val="BE8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183D"/>
    <w:multiLevelType w:val="hybridMultilevel"/>
    <w:tmpl w:val="7DB86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686E05"/>
    <w:multiLevelType w:val="hybridMultilevel"/>
    <w:tmpl w:val="60CCF95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A4010C"/>
    <w:multiLevelType w:val="hybridMultilevel"/>
    <w:tmpl w:val="C9DCB16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9" w15:restartNumberingAfterBreak="0">
    <w:nsid w:val="79021593"/>
    <w:multiLevelType w:val="hybridMultilevel"/>
    <w:tmpl w:val="3FAE6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10"/>
  </w:num>
  <w:num w:numId="4">
    <w:abstractNumId w:val="5"/>
  </w:num>
  <w:num w:numId="5">
    <w:abstractNumId w:val="9"/>
  </w:num>
  <w:num w:numId="6">
    <w:abstractNumId w:val="8"/>
  </w:num>
  <w:num w:numId="7">
    <w:abstractNumId w:val="7"/>
  </w:num>
  <w:num w:numId="8">
    <w:abstractNumId w:val="4"/>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028F5"/>
    <w:rsid w:val="00030DCA"/>
    <w:rsid w:val="00031599"/>
    <w:rsid w:val="00031D2E"/>
    <w:rsid w:val="00032567"/>
    <w:rsid w:val="0003644A"/>
    <w:rsid w:val="00044BC5"/>
    <w:rsid w:val="00045B62"/>
    <w:rsid w:val="000723C4"/>
    <w:rsid w:val="000938FD"/>
    <w:rsid w:val="000C7C05"/>
    <w:rsid w:val="000D23A1"/>
    <w:rsid w:val="0011630A"/>
    <w:rsid w:val="0012195D"/>
    <w:rsid w:val="00132EAE"/>
    <w:rsid w:val="001409D7"/>
    <w:rsid w:val="00144D43"/>
    <w:rsid w:val="001461AC"/>
    <w:rsid w:val="00194D8E"/>
    <w:rsid w:val="001A14A8"/>
    <w:rsid w:val="001D0A40"/>
    <w:rsid w:val="001D4230"/>
    <w:rsid w:val="002462FA"/>
    <w:rsid w:val="0025162D"/>
    <w:rsid w:val="00253F36"/>
    <w:rsid w:val="00266E86"/>
    <w:rsid w:val="00267C45"/>
    <w:rsid w:val="002741CB"/>
    <w:rsid w:val="002860A9"/>
    <w:rsid w:val="002A2074"/>
    <w:rsid w:val="002B5A58"/>
    <w:rsid w:val="002D00BD"/>
    <w:rsid w:val="002F6D70"/>
    <w:rsid w:val="00312974"/>
    <w:rsid w:val="00322848"/>
    <w:rsid w:val="00335B87"/>
    <w:rsid w:val="00346BB3"/>
    <w:rsid w:val="00362EC4"/>
    <w:rsid w:val="0036624D"/>
    <w:rsid w:val="003A4D87"/>
    <w:rsid w:val="003C1558"/>
    <w:rsid w:val="003D1C53"/>
    <w:rsid w:val="004012DE"/>
    <w:rsid w:val="004132D9"/>
    <w:rsid w:val="00424AA5"/>
    <w:rsid w:val="0047001B"/>
    <w:rsid w:val="00473772"/>
    <w:rsid w:val="00473E69"/>
    <w:rsid w:val="0047407E"/>
    <w:rsid w:val="004866D1"/>
    <w:rsid w:val="004B0D06"/>
    <w:rsid w:val="004B2100"/>
    <w:rsid w:val="004B371A"/>
    <w:rsid w:val="004C55D4"/>
    <w:rsid w:val="004D47AF"/>
    <w:rsid w:val="00525172"/>
    <w:rsid w:val="00561CCC"/>
    <w:rsid w:val="00571AF1"/>
    <w:rsid w:val="00572854"/>
    <w:rsid w:val="005D6F6C"/>
    <w:rsid w:val="0062267A"/>
    <w:rsid w:val="00627A72"/>
    <w:rsid w:val="00685BFF"/>
    <w:rsid w:val="006B0DB0"/>
    <w:rsid w:val="006C5896"/>
    <w:rsid w:val="006E11B0"/>
    <w:rsid w:val="006E61E9"/>
    <w:rsid w:val="006F03E6"/>
    <w:rsid w:val="006F22DA"/>
    <w:rsid w:val="00753C84"/>
    <w:rsid w:val="00755713"/>
    <w:rsid w:val="0079657A"/>
    <w:rsid w:val="007B464C"/>
    <w:rsid w:val="007B7F99"/>
    <w:rsid w:val="007E5C04"/>
    <w:rsid w:val="007E6216"/>
    <w:rsid w:val="007E6E57"/>
    <w:rsid w:val="008145E4"/>
    <w:rsid w:val="0081491E"/>
    <w:rsid w:val="008177E9"/>
    <w:rsid w:val="00822EDA"/>
    <w:rsid w:val="00832294"/>
    <w:rsid w:val="008328A3"/>
    <w:rsid w:val="00850A7A"/>
    <w:rsid w:val="008510F0"/>
    <w:rsid w:val="00884654"/>
    <w:rsid w:val="008A27A4"/>
    <w:rsid w:val="008C28DB"/>
    <w:rsid w:val="008C2EFE"/>
    <w:rsid w:val="008F6988"/>
    <w:rsid w:val="00914953"/>
    <w:rsid w:val="00916CF9"/>
    <w:rsid w:val="0094367F"/>
    <w:rsid w:val="00943B2F"/>
    <w:rsid w:val="00950907"/>
    <w:rsid w:val="009601D0"/>
    <w:rsid w:val="00967E01"/>
    <w:rsid w:val="00971DA0"/>
    <w:rsid w:val="00981FEF"/>
    <w:rsid w:val="009D3C1C"/>
    <w:rsid w:val="009D5E76"/>
    <w:rsid w:val="009E599C"/>
    <w:rsid w:val="00A01280"/>
    <w:rsid w:val="00A1258A"/>
    <w:rsid w:val="00A40FC2"/>
    <w:rsid w:val="00A63EDE"/>
    <w:rsid w:val="00A913B6"/>
    <w:rsid w:val="00A97DC3"/>
    <w:rsid w:val="00AB1BA3"/>
    <w:rsid w:val="00AB2890"/>
    <w:rsid w:val="00AC5E4B"/>
    <w:rsid w:val="00AD2CC9"/>
    <w:rsid w:val="00AE5F09"/>
    <w:rsid w:val="00AF7378"/>
    <w:rsid w:val="00B02BF3"/>
    <w:rsid w:val="00B816B3"/>
    <w:rsid w:val="00BC2A20"/>
    <w:rsid w:val="00BC34A1"/>
    <w:rsid w:val="00BD7126"/>
    <w:rsid w:val="00BF5555"/>
    <w:rsid w:val="00C16D93"/>
    <w:rsid w:val="00C33DED"/>
    <w:rsid w:val="00C37D65"/>
    <w:rsid w:val="00C55364"/>
    <w:rsid w:val="00C67949"/>
    <w:rsid w:val="00C94695"/>
    <w:rsid w:val="00CD7EF8"/>
    <w:rsid w:val="00CE363A"/>
    <w:rsid w:val="00CE74EF"/>
    <w:rsid w:val="00CF7609"/>
    <w:rsid w:val="00D25A99"/>
    <w:rsid w:val="00D33153"/>
    <w:rsid w:val="00D43208"/>
    <w:rsid w:val="00D54455"/>
    <w:rsid w:val="00D64E32"/>
    <w:rsid w:val="00D80BB3"/>
    <w:rsid w:val="00D92A68"/>
    <w:rsid w:val="00DA0F4C"/>
    <w:rsid w:val="00DA32A1"/>
    <w:rsid w:val="00DA689A"/>
    <w:rsid w:val="00DC1334"/>
    <w:rsid w:val="00DD0299"/>
    <w:rsid w:val="00DD02B0"/>
    <w:rsid w:val="00DE1D09"/>
    <w:rsid w:val="00DF66B7"/>
    <w:rsid w:val="00E00CC6"/>
    <w:rsid w:val="00E00D30"/>
    <w:rsid w:val="00E04634"/>
    <w:rsid w:val="00E2030C"/>
    <w:rsid w:val="00E21B8E"/>
    <w:rsid w:val="00E22C09"/>
    <w:rsid w:val="00E32A28"/>
    <w:rsid w:val="00E44EF9"/>
    <w:rsid w:val="00E52222"/>
    <w:rsid w:val="00E540A7"/>
    <w:rsid w:val="00E92208"/>
    <w:rsid w:val="00EB7E25"/>
    <w:rsid w:val="00EE5F18"/>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table" w:customStyle="1" w:styleId="TableGrid1">
    <w:name w:val="Table Grid1"/>
    <w:basedOn w:val="TableNormal"/>
    <w:next w:val="TableGrid"/>
    <w:uiPriority w:val="59"/>
    <w:rsid w:val="008328A3"/>
    <w:pPr>
      <w:jc w:val="both"/>
    </w:pPr>
    <w:rPr>
      <w:rFonts w:ascii="Times New Roman" w:eastAsia="Calibri"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229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71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DA0"/>
    <w:rPr>
      <w:rFonts w:ascii="Calibri" w:eastAsia="Calibri" w:hAnsi="Calibri" w:cs="Times New Roman"/>
      <w:sz w:val="22"/>
      <w:szCs w:val="22"/>
    </w:rPr>
  </w:style>
  <w:style w:type="paragraph" w:styleId="Footer">
    <w:name w:val="footer"/>
    <w:basedOn w:val="Normal"/>
    <w:link w:val="FooterChar"/>
    <w:uiPriority w:val="99"/>
    <w:unhideWhenUsed/>
    <w:rsid w:val="00971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DA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312">
      <w:bodyDiv w:val="1"/>
      <w:marLeft w:val="0"/>
      <w:marRight w:val="0"/>
      <w:marTop w:val="0"/>
      <w:marBottom w:val="0"/>
      <w:divBdr>
        <w:top w:val="none" w:sz="0" w:space="0" w:color="auto"/>
        <w:left w:val="none" w:sz="0" w:space="0" w:color="auto"/>
        <w:bottom w:val="none" w:sz="0" w:space="0" w:color="auto"/>
        <w:right w:val="none" w:sz="0" w:space="0" w:color="auto"/>
      </w:divBdr>
      <w:divsChild>
        <w:div w:id="270093621">
          <w:marLeft w:val="0"/>
          <w:marRight w:val="0"/>
          <w:marTop w:val="0"/>
          <w:marBottom w:val="0"/>
          <w:divBdr>
            <w:top w:val="none" w:sz="0" w:space="0" w:color="auto"/>
            <w:left w:val="none" w:sz="0" w:space="0" w:color="auto"/>
            <w:bottom w:val="none" w:sz="0" w:space="0" w:color="auto"/>
            <w:right w:val="none" w:sz="0" w:space="0" w:color="auto"/>
          </w:divBdr>
          <w:divsChild>
            <w:div w:id="2004310776">
              <w:marLeft w:val="0"/>
              <w:marRight w:val="0"/>
              <w:marTop w:val="0"/>
              <w:marBottom w:val="0"/>
              <w:divBdr>
                <w:top w:val="none" w:sz="0" w:space="0" w:color="auto"/>
                <w:left w:val="none" w:sz="0" w:space="0" w:color="auto"/>
                <w:bottom w:val="none" w:sz="0" w:space="0" w:color="auto"/>
                <w:right w:val="none" w:sz="0" w:space="0" w:color="auto"/>
              </w:divBdr>
              <w:divsChild>
                <w:div w:id="1272857468">
                  <w:marLeft w:val="0"/>
                  <w:marRight w:val="0"/>
                  <w:marTop w:val="0"/>
                  <w:marBottom w:val="0"/>
                  <w:divBdr>
                    <w:top w:val="none" w:sz="0" w:space="0" w:color="auto"/>
                    <w:left w:val="none" w:sz="0" w:space="0" w:color="auto"/>
                    <w:bottom w:val="none" w:sz="0" w:space="0" w:color="auto"/>
                    <w:right w:val="none" w:sz="0" w:space="0" w:color="auto"/>
                  </w:divBdr>
                  <w:divsChild>
                    <w:div w:id="831526699">
                      <w:marLeft w:val="0"/>
                      <w:marRight w:val="0"/>
                      <w:marTop w:val="0"/>
                      <w:marBottom w:val="0"/>
                      <w:divBdr>
                        <w:top w:val="none" w:sz="0" w:space="0" w:color="auto"/>
                        <w:left w:val="none" w:sz="0" w:space="0" w:color="auto"/>
                        <w:bottom w:val="none" w:sz="0" w:space="0" w:color="auto"/>
                        <w:right w:val="none" w:sz="0" w:space="0" w:color="auto"/>
                      </w:divBdr>
                      <w:divsChild>
                        <w:div w:id="374475341">
                          <w:marLeft w:val="0"/>
                          <w:marRight w:val="0"/>
                          <w:marTop w:val="0"/>
                          <w:marBottom w:val="0"/>
                          <w:divBdr>
                            <w:top w:val="none" w:sz="0" w:space="0" w:color="auto"/>
                            <w:left w:val="none" w:sz="0" w:space="0" w:color="auto"/>
                            <w:bottom w:val="none" w:sz="0" w:space="0" w:color="auto"/>
                            <w:right w:val="none" w:sz="0" w:space="0" w:color="auto"/>
                          </w:divBdr>
                          <w:divsChild>
                            <w:div w:id="1303384122">
                              <w:marLeft w:val="0"/>
                              <w:marRight w:val="0"/>
                              <w:marTop w:val="0"/>
                              <w:marBottom w:val="0"/>
                              <w:divBdr>
                                <w:top w:val="none" w:sz="0" w:space="0" w:color="auto"/>
                                <w:left w:val="none" w:sz="0" w:space="0" w:color="auto"/>
                                <w:bottom w:val="none" w:sz="0" w:space="0" w:color="auto"/>
                                <w:right w:val="none" w:sz="0" w:space="0" w:color="auto"/>
                              </w:divBdr>
                              <w:divsChild>
                                <w:div w:id="902057581">
                                  <w:marLeft w:val="0"/>
                                  <w:marRight w:val="0"/>
                                  <w:marTop w:val="0"/>
                                  <w:marBottom w:val="0"/>
                                  <w:divBdr>
                                    <w:top w:val="none" w:sz="0" w:space="0" w:color="auto"/>
                                    <w:left w:val="none" w:sz="0" w:space="0" w:color="auto"/>
                                    <w:bottom w:val="none" w:sz="0" w:space="0" w:color="auto"/>
                                    <w:right w:val="none" w:sz="0" w:space="0" w:color="auto"/>
                                  </w:divBdr>
                                  <w:divsChild>
                                    <w:div w:id="1785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7374">
      <w:bodyDiv w:val="1"/>
      <w:marLeft w:val="0"/>
      <w:marRight w:val="0"/>
      <w:marTop w:val="0"/>
      <w:marBottom w:val="0"/>
      <w:divBdr>
        <w:top w:val="none" w:sz="0" w:space="0" w:color="auto"/>
        <w:left w:val="none" w:sz="0" w:space="0" w:color="auto"/>
        <w:bottom w:val="none" w:sz="0" w:space="0" w:color="auto"/>
        <w:right w:val="none" w:sz="0" w:space="0" w:color="auto"/>
      </w:divBdr>
      <w:divsChild>
        <w:div w:id="2109764512">
          <w:marLeft w:val="0"/>
          <w:marRight w:val="0"/>
          <w:marTop w:val="0"/>
          <w:marBottom w:val="0"/>
          <w:divBdr>
            <w:top w:val="none" w:sz="0" w:space="0" w:color="auto"/>
            <w:left w:val="none" w:sz="0" w:space="0" w:color="auto"/>
            <w:bottom w:val="none" w:sz="0" w:space="0" w:color="auto"/>
            <w:right w:val="none" w:sz="0" w:space="0" w:color="auto"/>
          </w:divBdr>
          <w:divsChild>
            <w:div w:id="397747189">
              <w:marLeft w:val="0"/>
              <w:marRight w:val="0"/>
              <w:marTop w:val="0"/>
              <w:marBottom w:val="0"/>
              <w:divBdr>
                <w:top w:val="none" w:sz="0" w:space="0" w:color="auto"/>
                <w:left w:val="none" w:sz="0" w:space="0" w:color="auto"/>
                <w:bottom w:val="none" w:sz="0" w:space="0" w:color="auto"/>
                <w:right w:val="none" w:sz="0" w:space="0" w:color="auto"/>
              </w:divBdr>
              <w:divsChild>
                <w:div w:id="166288511">
                  <w:marLeft w:val="0"/>
                  <w:marRight w:val="0"/>
                  <w:marTop w:val="0"/>
                  <w:marBottom w:val="0"/>
                  <w:divBdr>
                    <w:top w:val="none" w:sz="0" w:space="0" w:color="auto"/>
                    <w:left w:val="none" w:sz="0" w:space="0" w:color="auto"/>
                    <w:bottom w:val="none" w:sz="0" w:space="0" w:color="auto"/>
                    <w:right w:val="none" w:sz="0" w:space="0" w:color="auto"/>
                  </w:divBdr>
                  <w:divsChild>
                    <w:div w:id="247034701">
                      <w:marLeft w:val="0"/>
                      <w:marRight w:val="0"/>
                      <w:marTop w:val="0"/>
                      <w:marBottom w:val="0"/>
                      <w:divBdr>
                        <w:top w:val="none" w:sz="0" w:space="0" w:color="auto"/>
                        <w:left w:val="none" w:sz="0" w:space="0" w:color="auto"/>
                        <w:bottom w:val="none" w:sz="0" w:space="0" w:color="auto"/>
                        <w:right w:val="none" w:sz="0" w:space="0" w:color="auto"/>
                      </w:divBdr>
                      <w:divsChild>
                        <w:div w:id="1383096220">
                          <w:marLeft w:val="0"/>
                          <w:marRight w:val="0"/>
                          <w:marTop w:val="0"/>
                          <w:marBottom w:val="0"/>
                          <w:divBdr>
                            <w:top w:val="none" w:sz="0" w:space="0" w:color="auto"/>
                            <w:left w:val="none" w:sz="0" w:space="0" w:color="auto"/>
                            <w:bottom w:val="none" w:sz="0" w:space="0" w:color="auto"/>
                            <w:right w:val="none" w:sz="0" w:space="0" w:color="auto"/>
                          </w:divBdr>
                          <w:divsChild>
                            <w:div w:id="2145081512">
                              <w:marLeft w:val="0"/>
                              <w:marRight w:val="0"/>
                              <w:marTop w:val="0"/>
                              <w:marBottom w:val="0"/>
                              <w:divBdr>
                                <w:top w:val="none" w:sz="0" w:space="0" w:color="auto"/>
                                <w:left w:val="none" w:sz="0" w:space="0" w:color="auto"/>
                                <w:bottom w:val="none" w:sz="0" w:space="0" w:color="auto"/>
                                <w:right w:val="none" w:sz="0" w:space="0" w:color="auto"/>
                              </w:divBdr>
                              <w:divsChild>
                                <w:div w:id="1314526563">
                                  <w:marLeft w:val="0"/>
                                  <w:marRight w:val="0"/>
                                  <w:marTop w:val="0"/>
                                  <w:marBottom w:val="0"/>
                                  <w:divBdr>
                                    <w:top w:val="none" w:sz="0" w:space="0" w:color="auto"/>
                                    <w:left w:val="none" w:sz="0" w:space="0" w:color="auto"/>
                                    <w:bottom w:val="none" w:sz="0" w:space="0" w:color="auto"/>
                                    <w:right w:val="none" w:sz="0" w:space="0" w:color="auto"/>
                                  </w:divBdr>
                                  <w:divsChild>
                                    <w:div w:id="156193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1840</Words>
  <Characters>10488</Characters>
  <Application>Microsoft Office Word</Application>
  <DocSecurity>0</DocSecurity>
  <Lines>87</Lines>
  <Paragraphs>24</Paragraphs>
  <ScaleCrop>false</ScaleCrop>
  <Manager/>
  <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2016-01-13T21:06:00Z</dcterms:created>
  <dcterms:modified xsi:type="dcterms:W3CDTF">2016-01-13T21:06:00Z</dcterms:modified>
</cp:coreProperties>
</file>