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D1" w:rsidRDefault="002E37D1" w:rsidP="00DF1EE8">
      <w:pPr>
        <w:spacing w:line="480" w:lineRule="auto"/>
        <w:contextualSpacing/>
        <w:jc w:val="center"/>
        <w:rPr>
          <w:rFonts w:eastAsia="Times New Roman" w:cs="Times New Roman"/>
          <w:b/>
          <w:bCs/>
          <w:sz w:val="24"/>
          <w:szCs w:val="24"/>
        </w:rPr>
      </w:pPr>
      <w:r>
        <w:rPr>
          <w:rFonts w:eastAsia="Times New Roman" w:cs="Times New Roman"/>
          <w:b/>
          <w:bCs/>
          <w:sz w:val="24"/>
          <w:szCs w:val="24"/>
        </w:rPr>
        <w:t>BUILDING CONSENSUS AROUND ACADEMIC RIGOR</w:t>
      </w:r>
      <w:r w:rsidR="00ED464E">
        <w:rPr>
          <w:rFonts w:eastAsia="Times New Roman" w:cs="Times New Roman"/>
          <w:b/>
          <w:bCs/>
          <w:sz w:val="24"/>
          <w:szCs w:val="24"/>
        </w:rPr>
        <w:t xml:space="preserve"> IN MANAGEMENT EDUCATION</w:t>
      </w:r>
    </w:p>
    <w:p w:rsidR="002E37D1" w:rsidRDefault="002E37D1" w:rsidP="00DF1EE8">
      <w:pPr>
        <w:spacing w:line="480" w:lineRule="auto"/>
        <w:contextualSpacing/>
        <w:jc w:val="center"/>
        <w:rPr>
          <w:rFonts w:eastAsia="Times New Roman" w:cs="Times New Roman"/>
          <w:b/>
          <w:bCs/>
          <w:sz w:val="24"/>
          <w:szCs w:val="24"/>
        </w:rPr>
      </w:pPr>
    </w:p>
    <w:p w:rsidR="002E37D1" w:rsidRDefault="002E37D1" w:rsidP="00DF1EE8">
      <w:pPr>
        <w:spacing w:line="480" w:lineRule="auto"/>
        <w:contextualSpacing/>
        <w:jc w:val="center"/>
        <w:rPr>
          <w:rFonts w:eastAsia="Times New Roman" w:cs="Times New Roman"/>
          <w:b/>
          <w:bCs/>
          <w:sz w:val="24"/>
          <w:szCs w:val="24"/>
        </w:rPr>
      </w:pPr>
      <w:r>
        <w:rPr>
          <w:rFonts w:eastAsia="Times New Roman" w:cs="Times New Roman"/>
          <w:b/>
          <w:bCs/>
          <w:sz w:val="24"/>
          <w:szCs w:val="24"/>
        </w:rPr>
        <w:t>ABSTRACT</w:t>
      </w:r>
    </w:p>
    <w:p w:rsidR="002E37D1" w:rsidRDefault="002E37D1" w:rsidP="00DF1EE8">
      <w:pPr>
        <w:spacing w:line="480" w:lineRule="auto"/>
        <w:contextualSpacing/>
        <w:rPr>
          <w:rFonts w:eastAsia="Times New Roman" w:cs="Times New Roman"/>
          <w:bCs/>
          <w:sz w:val="24"/>
          <w:szCs w:val="24"/>
        </w:rPr>
      </w:pPr>
      <w:r>
        <w:rPr>
          <w:rFonts w:eastAsia="Times New Roman" w:cs="Times New Roman"/>
          <w:b/>
          <w:bCs/>
          <w:sz w:val="24"/>
          <w:szCs w:val="24"/>
        </w:rPr>
        <w:tab/>
      </w:r>
      <w:r w:rsidR="00DF1EE8">
        <w:rPr>
          <w:rFonts w:eastAsia="Times New Roman" w:cs="Times New Roman"/>
          <w:bCs/>
          <w:sz w:val="24"/>
          <w:szCs w:val="24"/>
        </w:rPr>
        <w:t>With rising college costs, increased scrutiny on the value of a college education has led many to question how much students actually learn through higher education. These questions imply a perceived lack of academic rigor in many programs. In this symposium, presenters and participants will explore approaches to ensuring academic rigor in both undergraduate and graduate programs, as well as across institutional classifications, including masters’ and doctoral degree granting institutions and historically black colleges and universities.</w:t>
      </w:r>
    </w:p>
    <w:p w:rsidR="00DF1EE8" w:rsidRPr="00DF1EE8" w:rsidRDefault="00DF1EE8" w:rsidP="00DF1EE8">
      <w:pPr>
        <w:spacing w:line="480" w:lineRule="auto"/>
        <w:contextualSpacing/>
        <w:rPr>
          <w:rFonts w:eastAsia="Times New Roman" w:cs="Times New Roman"/>
          <w:b/>
          <w:bCs/>
          <w:sz w:val="24"/>
          <w:szCs w:val="24"/>
        </w:rPr>
      </w:pPr>
      <w:r>
        <w:rPr>
          <w:rFonts w:eastAsia="Times New Roman" w:cs="Times New Roman"/>
          <w:b/>
          <w:bCs/>
          <w:sz w:val="24"/>
          <w:szCs w:val="24"/>
        </w:rPr>
        <w:t>Key words: academic rigor, assessment, HBCUs</w:t>
      </w:r>
    </w:p>
    <w:p w:rsidR="002E37D1" w:rsidRDefault="002E37D1" w:rsidP="002E37D1">
      <w:pPr>
        <w:jc w:val="both"/>
        <w:rPr>
          <w:rFonts w:eastAsia="Times New Roman" w:cs="Times New Roman"/>
          <w:b/>
          <w:bCs/>
          <w:sz w:val="24"/>
          <w:szCs w:val="24"/>
        </w:rPr>
      </w:pPr>
    </w:p>
    <w:p w:rsidR="002E37D1" w:rsidRDefault="002E37D1">
      <w:pPr>
        <w:rPr>
          <w:rFonts w:eastAsia="Times New Roman" w:cs="Times New Roman"/>
          <w:b/>
          <w:bCs/>
          <w:sz w:val="24"/>
          <w:szCs w:val="24"/>
        </w:rPr>
      </w:pPr>
      <w:r>
        <w:rPr>
          <w:rFonts w:eastAsia="Times New Roman" w:cs="Times New Roman"/>
          <w:b/>
          <w:bCs/>
          <w:sz w:val="24"/>
          <w:szCs w:val="24"/>
        </w:rPr>
        <w:br w:type="page"/>
      </w:r>
    </w:p>
    <w:p w:rsidR="002E37D1" w:rsidRDefault="002E37D1" w:rsidP="002E37D1">
      <w:pPr>
        <w:jc w:val="both"/>
        <w:rPr>
          <w:rFonts w:eastAsia="Times New Roman" w:cs="Times New Roman"/>
          <w:b/>
          <w:bCs/>
          <w:sz w:val="24"/>
          <w:szCs w:val="24"/>
        </w:rPr>
      </w:pPr>
    </w:p>
    <w:p w:rsidR="00ED464E" w:rsidRDefault="00ED464E" w:rsidP="00ED464E">
      <w:pPr>
        <w:spacing w:before="100" w:beforeAutospacing="1" w:after="100" w:afterAutospacing="1" w:line="480" w:lineRule="auto"/>
        <w:contextualSpacing/>
        <w:jc w:val="center"/>
        <w:rPr>
          <w:rFonts w:eastAsia="Times New Roman" w:cs="Times New Roman"/>
          <w:b/>
          <w:bCs/>
          <w:sz w:val="24"/>
          <w:szCs w:val="24"/>
        </w:rPr>
      </w:pPr>
      <w:r w:rsidRPr="001F288F">
        <w:rPr>
          <w:rFonts w:eastAsia="Times New Roman" w:cs="Times New Roman"/>
          <w:b/>
          <w:bCs/>
          <w:sz w:val="24"/>
          <w:szCs w:val="24"/>
        </w:rPr>
        <w:t>INTRODUCTION</w:t>
      </w:r>
    </w:p>
    <w:p w:rsidR="00DF1EE8" w:rsidRDefault="00DF1EE8" w:rsidP="00DF1EE8">
      <w:pPr>
        <w:spacing w:before="100" w:beforeAutospacing="1" w:after="100" w:afterAutospacing="1" w:line="480" w:lineRule="auto"/>
        <w:ind w:firstLine="720"/>
        <w:contextualSpacing/>
        <w:rPr>
          <w:rFonts w:eastAsia="Times New Roman" w:cs="Times New Roman"/>
          <w:sz w:val="24"/>
          <w:szCs w:val="24"/>
        </w:rPr>
      </w:pPr>
      <w:r>
        <w:rPr>
          <w:rFonts w:eastAsia="Arial" w:cs="Times New Roman"/>
          <w:spacing w:val="-1"/>
          <w:sz w:val="24"/>
        </w:rPr>
        <w:t>MOBTS</w:t>
      </w:r>
      <w:r w:rsidRPr="001F288F">
        <w:rPr>
          <w:rFonts w:eastAsia="Arial" w:cs="Times New Roman"/>
          <w:spacing w:val="-1"/>
          <w:sz w:val="24"/>
        </w:rPr>
        <w:t xml:space="preserve"> has been a catalyst for sharing teaching and learning activities and experiences within the academic community to enhance student engagement and learning. This symposium seeks to facilitate discussions around academic rigor as the community shares insights, activities, and best practices.</w:t>
      </w:r>
      <w:r w:rsidR="00B47358">
        <w:rPr>
          <w:rFonts w:eastAsia="Arial" w:cs="Times New Roman"/>
          <w:spacing w:val="-1"/>
          <w:sz w:val="24"/>
        </w:rPr>
        <w:t xml:space="preserve"> </w:t>
      </w:r>
      <w:bookmarkStart w:id="0" w:name="_GoBack"/>
      <w:bookmarkEnd w:id="0"/>
    </w:p>
    <w:p w:rsidR="00ED464E" w:rsidRDefault="00ED464E" w:rsidP="00ED464E">
      <w:pPr>
        <w:spacing w:before="100" w:beforeAutospacing="1" w:after="100" w:afterAutospacing="1" w:line="480" w:lineRule="auto"/>
        <w:contextualSpacing/>
        <w:jc w:val="center"/>
        <w:rPr>
          <w:rFonts w:eastAsia="Times New Roman" w:cs="Times New Roman"/>
          <w:sz w:val="24"/>
          <w:szCs w:val="24"/>
        </w:rPr>
      </w:pPr>
      <w:r w:rsidRPr="001F288F">
        <w:rPr>
          <w:rFonts w:eastAsia="Times New Roman" w:cs="Times New Roman"/>
          <w:b/>
          <w:bCs/>
          <w:sz w:val="24"/>
          <w:szCs w:val="24"/>
        </w:rPr>
        <w:t>THEORETICAL FOUNDATION/TEACHING IMPLICATIONS</w:t>
      </w:r>
    </w:p>
    <w:p w:rsidR="00DF1EE8" w:rsidRDefault="00FA01F6" w:rsidP="00FA01F6">
      <w:pPr>
        <w:spacing w:before="100" w:beforeAutospacing="1" w:after="100" w:afterAutospacing="1" w:line="480" w:lineRule="auto"/>
        <w:ind w:firstLine="720"/>
        <w:contextualSpacing/>
        <w:rPr>
          <w:rFonts w:cs="Times New Roman"/>
          <w:bCs/>
          <w:sz w:val="24"/>
          <w:szCs w:val="24"/>
        </w:rPr>
      </w:pPr>
      <w:r>
        <w:rPr>
          <w:rFonts w:eastAsia="Arial" w:cs="Times New Roman"/>
          <w:spacing w:val="-1"/>
          <w:sz w:val="24"/>
          <w:szCs w:val="24"/>
        </w:rPr>
        <w:t>Debates around academic rigor in business education are not new. Gordon and Howell’s seminal</w:t>
      </w:r>
      <w:r w:rsidR="00512E00">
        <w:rPr>
          <w:rFonts w:eastAsia="Arial" w:cs="Times New Roman"/>
          <w:spacing w:val="-1"/>
          <w:sz w:val="24"/>
          <w:szCs w:val="24"/>
        </w:rPr>
        <w:t xml:space="preserve"> 1959</w:t>
      </w:r>
      <w:r>
        <w:rPr>
          <w:rFonts w:eastAsia="Arial" w:cs="Times New Roman"/>
          <w:spacing w:val="-1"/>
          <w:sz w:val="24"/>
          <w:szCs w:val="24"/>
        </w:rPr>
        <w:t xml:space="preserve"> report, sponsored by the Ford Foundation, condemned business education as light on rigor, as business classes </w:t>
      </w:r>
      <w:r w:rsidR="00512E00">
        <w:rPr>
          <w:rFonts w:eastAsia="Arial" w:cs="Times New Roman"/>
          <w:spacing w:val="-1"/>
          <w:sz w:val="24"/>
          <w:szCs w:val="24"/>
        </w:rPr>
        <w:t xml:space="preserve">and materials at the time </w:t>
      </w:r>
      <w:r>
        <w:rPr>
          <w:rFonts w:eastAsia="Arial" w:cs="Times New Roman"/>
          <w:spacing w:val="-1"/>
          <w:sz w:val="24"/>
          <w:szCs w:val="24"/>
        </w:rPr>
        <w:t>frequently focused on the “war stories” of instructors from “</w:t>
      </w:r>
      <w:r w:rsidR="00512E00">
        <w:rPr>
          <w:rFonts w:eastAsia="Arial" w:cs="Times New Roman"/>
          <w:spacing w:val="-1"/>
          <w:sz w:val="24"/>
          <w:szCs w:val="24"/>
        </w:rPr>
        <w:t xml:space="preserve">good </w:t>
      </w:r>
      <w:proofErr w:type="spellStart"/>
      <w:r w:rsidR="00512E00">
        <w:rPr>
          <w:rFonts w:eastAsia="Arial" w:cs="Times New Roman"/>
          <w:spacing w:val="-1"/>
          <w:sz w:val="24"/>
          <w:szCs w:val="24"/>
        </w:rPr>
        <w:t>ol</w:t>
      </w:r>
      <w:proofErr w:type="spellEnd"/>
      <w:r w:rsidR="00512E00">
        <w:rPr>
          <w:rFonts w:eastAsia="Arial" w:cs="Times New Roman"/>
          <w:spacing w:val="-1"/>
          <w:sz w:val="24"/>
          <w:szCs w:val="24"/>
        </w:rPr>
        <w:t>’</w:t>
      </w:r>
      <w:r>
        <w:rPr>
          <w:rFonts w:eastAsia="Arial" w:cs="Times New Roman"/>
          <w:spacing w:val="-1"/>
          <w:sz w:val="24"/>
          <w:szCs w:val="24"/>
        </w:rPr>
        <w:t xml:space="preserve"> boy” networks. As a response, the field lurched toward scientific </w:t>
      </w:r>
      <w:r w:rsidR="00512E00">
        <w:rPr>
          <w:rFonts w:eastAsia="Arial" w:cs="Times New Roman"/>
          <w:spacing w:val="-1"/>
          <w:sz w:val="24"/>
          <w:szCs w:val="24"/>
        </w:rPr>
        <w:t xml:space="preserve">rather than anecdotal </w:t>
      </w:r>
      <w:r>
        <w:rPr>
          <w:rFonts w:eastAsia="Arial" w:cs="Times New Roman"/>
          <w:spacing w:val="-1"/>
          <w:sz w:val="24"/>
          <w:szCs w:val="24"/>
        </w:rPr>
        <w:t>approaches to business education.</w:t>
      </w:r>
      <w:r w:rsidR="00512E00">
        <w:rPr>
          <w:rFonts w:eastAsia="Arial" w:cs="Times New Roman"/>
          <w:spacing w:val="-1"/>
          <w:sz w:val="24"/>
          <w:szCs w:val="24"/>
        </w:rPr>
        <w:t xml:space="preserve"> Despite a more scientific approach to content development, however, issues of rigor in content delivery have not gone away.</w:t>
      </w:r>
      <w:r>
        <w:rPr>
          <w:rFonts w:eastAsia="Arial" w:cs="Times New Roman"/>
          <w:spacing w:val="-1"/>
          <w:sz w:val="24"/>
          <w:szCs w:val="24"/>
        </w:rPr>
        <w:t xml:space="preserve"> </w:t>
      </w:r>
      <w:r w:rsidR="00512E00">
        <w:rPr>
          <w:rFonts w:eastAsia="Arial" w:cs="Times New Roman"/>
          <w:spacing w:val="-1"/>
          <w:sz w:val="24"/>
          <w:szCs w:val="24"/>
        </w:rPr>
        <w:t xml:space="preserve">This is complicated </w:t>
      </w:r>
      <w:r w:rsidR="006305EC">
        <w:rPr>
          <w:rFonts w:eastAsia="Arial" w:cs="Times New Roman"/>
          <w:spacing w:val="-1"/>
          <w:sz w:val="24"/>
          <w:szCs w:val="24"/>
        </w:rPr>
        <w:t xml:space="preserve">in professional schools like business </w:t>
      </w:r>
      <w:r w:rsidR="00512E00">
        <w:rPr>
          <w:rFonts w:eastAsia="Arial" w:cs="Times New Roman"/>
          <w:spacing w:val="-1"/>
          <w:sz w:val="24"/>
          <w:szCs w:val="24"/>
        </w:rPr>
        <w:t>by the need to balance</w:t>
      </w:r>
      <w:r w:rsidR="006305EC">
        <w:rPr>
          <w:rFonts w:eastAsia="Arial" w:cs="Times New Roman"/>
          <w:spacing w:val="-1"/>
          <w:sz w:val="24"/>
          <w:szCs w:val="24"/>
        </w:rPr>
        <w:t xml:space="preserve"> relevance with academic rigor (</w:t>
      </w:r>
      <w:proofErr w:type="spellStart"/>
      <w:r w:rsidR="006305EC">
        <w:rPr>
          <w:rFonts w:eastAsia="Arial" w:cs="Times New Roman"/>
          <w:spacing w:val="-1"/>
          <w:sz w:val="24"/>
          <w:szCs w:val="24"/>
        </w:rPr>
        <w:t>Clinebell</w:t>
      </w:r>
      <w:proofErr w:type="spellEnd"/>
      <w:r w:rsidR="006305EC">
        <w:rPr>
          <w:rFonts w:eastAsia="Arial" w:cs="Times New Roman"/>
          <w:spacing w:val="-1"/>
          <w:sz w:val="24"/>
          <w:szCs w:val="24"/>
        </w:rPr>
        <w:t xml:space="preserve"> and </w:t>
      </w:r>
      <w:proofErr w:type="spellStart"/>
      <w:r w:rsidR="006305EC">
        <w:rPr>
          <w:rFonts w:eastAsia="Arial" w:cs="Times New Roman"/>
          <w:spacing w:val="-1"/>
          <w:sz w:val="24"/>
          <w:szCs w:val="24"/>
        </w:rPr>
        <w:t>Clinebell</w:t>
      </w:r>
      <w:proofErr w:type="spellEnd"/>
      <w:r w:rsidR="006305EC">
        <w:rPr>
          <w:rFonts w:eastAsia="Arial" w:cs="Times New Roman"/>
          <w:spacing w:val="-1"/>
          <w:sz w:val="24"/>
          <w:szCs w:val="24"/>
        </w:rPr>
        <w:t xml:space="preserve">, 2008). </w:t>
      </w:r>
      <w:r>
        <w:rPr>
          <w:rFonts w:eastAsia="Arial" w:cs="Times New Roman"/>
          <w:spacing w:val="-1"/>
          <w:sz w:val="24"/>
          <w:szCs w:val="24"/>
        </w:rPr>
        <w:t xml:space="preserve">More recently, </w:t>
      </w:r>
      <w:r w:rsidR="006305EC">
        <w:rPr>
          <w:rFonts w:eastAsia="Arial" w:cs="Times New Roman"/>
          <w:spacing w:val="-1"/>
          <w:sz w:val="24"/>
          <w:szCs w:val="24"/>
        </w:rPr>
        <w:t>in</w:t>
      </w:r>
      <w:r w:rsidR="00DF1EE8" w:rsidRPr="001F288F">
        <w:rPr>
          <w:rFonts w:cs="Times New Roman"/>
          <w:sz w:val="24"/>
          <w:szCs w:val="24"/>
        </w:rPr>
        <w:t xml:space="preserve"> </w:t>
      </w:r>
      <w:r w:rsidR="00DF1EE8" w:rsidRPr="001F288F">
        <w:rPr>
          <w:rFonts w:cs="Times New Roman"/>
          <w:i/>
          <w:sz w:val="24"/>
          <w:szCs w:val="24"/>
        </w:rPr>
        <w:t>Academically Adrift: Limited Learn</w:t>
      </w:r>
      <w:r w:rsidR="006305EC">
        <w:rPr>
          <w:rFonts w:cs="Times New Roman"/>
          <w:i/>
          <w:sz w:val="24"/>
          <w:szCs w:val="24"/>
        </w:rPr>
        <w:t>ing on College Campuses (2011),</w:t>
      </w:r>
      <w:r w:rsidR="00DF1EE8" w:rsidRPr="001F288F">
        <w:rPr>
          <w:rFonts w:cs="Times New Roman"/>
          <w:i/>
          <w:sz w:val="24"/>
          <w:szCs w:val="24"/>
        </w:rPr>
        <w:t xml:space="preserve"> </w:t>
      </w:r>
      <w:r w:rsidR="00DF1EE8" w:rsidRPr="001F288F">
        <w:rPr>
          <w:rFonts w:cs="Times New Roman"/>
          <w:bCs/>
          <w:sz w:val="24"/>
          <w:szCs w:val="24"/>
        </w:rPr>
        <w:t xml:space="preserve">Arum and </w:t>
      </w:r>
      <w:proofErr w:type="spellStart"/>
      <w:r w:rsidR="00DF1EE8" w:rsidRPr="001F288F">
        <w:rPr>
          <w:rFonts w:cs="Times New Roman"/>
          <w:bCs/>
          <w:sz w:val="24"/>
          <w:szCs w:val="24"/>
        </w:rPr>
        <w:t>Roska</w:t>
      </w:r>
      <w:proofErr w:type="spellEnd"/>
      <w:r w:rsidR="00DF1EE8" w:rsidRPr="001F288F">
        <w:rPr>
          <w:rFonts w:cs="Times New Roman"/>
          <w:sz w:val="24"/>
          <w:szCs w:val="24"/>
        </w:rPr>
        <w:t xml:space="preserve"> asserted</w:t>
      </w:r>
      <w:r w:rsidR="00DF1EE8" w:rsidRPr="001F288F">
        <w:rPr>
          <w:rFonts w:cs="Times New Roman"/>
          <w:bCs/>
          <w:sz w:val="24"/>
          <w:szCs w:val="24"/>
        </w:rPr>
        <w:t xml:space="preserve"> that university students do not learn as much as expected and cite academic rig</w:t>
      </w:r>
      <w:r w:rsidR="006305EC">
        <w:rPr>
          <w:rFonts w:cs="Times New Roman"/>
          <w:bCs/>
          <w:sz w:val="24"/>
          <w:szCs w:val="24"/>
        </w:rPr>
        <w:t xml:space="preserve">or as the contributing factor. Speaking specifically about business students, they state, </w:t>
      </w:r>
      <w:r w:rsidR="00DF1EE8" w:rsidRPr="001F288F">
        <w:rPr>
          <w:rFonts w:cs="Times New Roman"/>
          <w:bCs/>
          <w:sz w:val="24"/>
          <w:szCs w:val="24"/>
        </w:rPr>
        <w:t>“</w:t>
      </w:r>
      <w:r w:rsidR="006305EC" w:rsidRPr="001F288F">
        <w:rPr>
          <w:rFonts w:cs="Times New Roman"/>
          <w:bCs/>
          <w:sz w:val="24"/>
          <w:szCs w:val="24"/>
        </w:rPr>
        <w:t>Students</w:t>
      </w:r>
      <w:r w:rsidR="00DF1EE8" w:rsidRPr="001F288F">
        <w:rPr>
          <w:rFonts w:cs="Times New Roman"/>
          <w:bCs/>
          <w:sz w:val="24"/>
          <w:szCs w:val="24"/>
        </w:rPr>
        <w:t xml:space="preserve"> majoring in business and communications showed the smallest gains in critical thinking, complex reasoning, and writing skills over time than students in other fields.” While there have been challenges to the methodology employed by Arum and </w:t>
      </w:r>
      <w:proofErr w:type="spellStart"/>
      <w:r w:rsidR="00DF1EE8" w:rsidRPr="001F288F">
        <w:rPr>
          <w:rFonts w:cs="Times New Roman"/>
          <w:bCs/>
          <w:sz w:val="24"/>
          <w:szCs w:val="24"/>
        </w:rPr>
        <w:t>Roska</w:t>
      </w:r>
      <w:proofErr w:type="spellEnd"/>
      <w:r w:rsidR="00DF1EE8" w:rsidRPr="001F288F">
        <w:rPr>
          <w:rFonts w:cs="Times New Roman"/>
          <w:bCs/>
          <w:sz w:val="24"/>
          <w:szCs w:val="24"/>
        </w:rPr>
        <w:t xml:space="preserve">, </w:t>
      </w:r>
      <w:r w:rsidR="006305EC">
        <w:rPr>
          <w:rFonts w:cs="Times New Roman"/>
          <w:bCs/>
          <w:sz w:val="24"/>
          <w:szCs w:val="24"/>
        </w:rPr>
        <w:t>their findings suggest a need</w:t>
      </w:r>
      <w:r w:rsidR="00DF1EE8" w:rsidRPr="001F288F">
        <w:rPr>
          <w:rFonts w:cs="Times New Roman"/>
          <w:bCs/>
          <w:sz w:val="24"/>
          <w:szCs w:val="24"/>
        </w:rPr>
        <w:t xml:space="preserve"> to discuss approaches to academic rigor in business and management education.</w:t>
      </w:r>
    </w:p>
    <w:p w:rsidR="006305EC" w:rsidRDefault="006305EC" w:rsidP="00FA01F6">
      <w:pPr>
        <w:spacing w:before="100" w:beforeAutospacing="1" w:after="100" w:afterAutospacing="1" w:line="480" w:lineRule="auto"/>
        <w:ind w:firstLine="720"/>
        <w:contextualSpacing/>
        <w:rPr>
          <w:rFonts w:cs="Times New Roman"/>
          <w:bCs/>
          <w:sz w:val="24"/>
          <w:szCs w:val="24"/>
        </w:rPr>
      </w:pPr>
      <w:r>
        <w:rPr>
          <w:rFonts w:cs="Times New Roman"/>
          <w:bCs/>
          <w:sz w:val="24"/>
          <w:szCs w:val="24"/>
        </w:rPr>
        <w:t xml:space="preserve">Perhaps part of business education’s shortcomings in student learning relative to other disciplines </w:t>
      </w:r>
      <w:proofErr w:type="gramStart"/>
      <w:r>
        <w:rPr>
          <w:rFonts w:cs="Times New Roman"/>
          <w:bCs/>
          <w:sz w:val="24"/>
          <w:szCs w:val="24"/>
        </w:rPr>
        <w:t>can be attributed</w:t>
      </w:r>
      <w:proofErr w:type="gramEnd"/>
      <w:r>
        <w:rPr>
          <w:rFonts w:cs="Times New Roman"/>
          <w:bCs/>
          <w:sz w:val="24"/>
          <w:szCs w:val="24"/>
        </w:rPr>
        <w:t xml:space="preserve"> to confusion around the concept of academic rigor</w:t>
      </w:r>
      <w:r w:rsidR="00A036F8">
        <w:rPr>
          <w:rFonts w:cs="Times New Roman"/>
          <w:bCs/>
          <w:sz w:val="24"/>
          <w:szCs w:val="24"/>
        </w:rPr>
        <w:t xml:space="preserve"> or a lack of </w:t>
      </w:r>
      <w:r w:rsidR="00A036F8">
        <w:rPr>
          <w:rFonts w:cs="Times New Roman"/>
          <w:bCs/>
          <w:sz w:val="24"/>
          <w:szCs w:val="24"/>
        </w:rPr>
        <w:lastRenderedPageBreak/>
        <w:t>consensus on the need for it</w:t>
      </w:r>
      <w:r>
        <w:rPr>
          <w:rFonts w:cs="Times New Roman"/>
          <w:bCs/>
          <w:sz w:val="24"/>
          <w:szCs w:val="24"/>
        </w:rPr>
        <w:t xml:space="preserve">. </w:t>
      </w:r>
      <w:proofErr w:type="spellStart"/>
      <w:r>
        <w:rPr>
          <w:rFonts w:cs="Times New Roman"/>
          <w:bCs/>
          <w:sz w:val="24"/>
          <w:szCs w:val="24"/>
        </w:rPr>
        <w:t>Draeger</w:t>
      </w:r>
      <w:proofErr w:type="spellEnd"/>
      <w:r>
        <w:rPr>
          <w:rFonts w:cs="Times New Roman"/>
          <w:bCs/>
          <w:sz w:val="24"/>
          <w:szCs w:val="24"/>
        </w:rPr>
        <w:t xml:space="preserve"> et al., (2013) provide a model of rigor that fits well with MOBTS an</w:t>
      </w:r>
      <w:r w:rsidR="00A036F8">
        <w:rPr>
          <w:rFonts w:cs="Times New Roman"/>
          <w:bCs/>
          <w:sz w:val="24"/>
          <w:szCs w:val="24"/>
        </w:rPr>
        <w:t>d its focus on active learning. Based on their work with faculty, they note broad consensus among faculty across disciplines on their conceptualization of rigor as “actively learning meaningful content with higher-order thinking at the appropriate level of expectation in a given context” (</w:t>
      </w:r>
      <w:proofErr w:type="spellStart"/>
      <w:r w:rsidR="00A036F8">
        <w:rPr>
          <w:rFonts w:cs="Times New Roman"/>
          <w:bCs/>
          <w:sz w:val="24"/>
          <w:szCs w:val="24"/>
        </w:rPr>
        <w:t>Draeger</w:t>
      </w:r>
      <w:proofErr w:type="spellEnd"/>
      <w:r w:rsidR="00A036F8">
        <w:rPr>
          <w:rFonts w:cs="Times New Roman"/>
          <w:bCs/>
          <w:sz w:val="24"/>
          <w:szCs w:val="24"/>
        </w:rPr>
        <w:t xml:space="preserve"> et al., 2013, 278). While this model may resonate with faculty, </w:t>
      </w:r>
      <w:proofErr w:type="spellStart"/>
      <w:r w:rsidR="00A036F8">
        <w:rPr>
          <w:rFonts w:cs="Times New Roman"/>
          <w:bCs/>
          <w:sz w:val="24"/>
          <w:szCs w:val="24"/>
        </w:rPr>
        <w:t>Draeger</w:t>
      </w:r>
      <w:proofErr w:type="spellEnd"/>
      <w:r w:rsidR="00A036F8">
        <w:rPr>
          <w:rFonts w:cs="Times New Roman"/>
          <w:bCs/>
          <w:sz w:val="24"/>
          <w:szCs w:val="24"/>
        </w:rPr>
        <w:t xml:space="preserve">, Hill, and </w:t>
      </w:r>
      <w:proofErr w:type="gramStart"/>
      <w:r w:rsidR="00A036F8">
        <w:rPr>
          <w:rFonts w:cs="Times New Roman"/>
          <w:bCs/>
          <w:sz w:val="24"/>
          <w:szCs w:val="24"/>
        </w:rPr>
        <w:t>Mahler</w:t>
      </w:r>
      <w:proofErr w:type="gramEnd"/>
      <w:r w:rsidR="00A036F8">
        <w:rPr>
          <w:rFonts w:cs="Times New Roman"/>
          <w:bCs/>
          <w:sz w:val="24"/>
          <w:szCs w:val="24"/>
        </w:rPr>
        <w:t xml:space="preserve"> (2015) note that students lack such a consistent concept of rigor. Moreover, even if faculty may agree on what academic rigor is, other pressures, such as the role of student evaluations in performance appraisal, may lead them to prioritize outcomes other than student learning (</w:t>
      </w:r>
      <w:proofErr w:type="spellStart"/>
      <w:r w:rsidR="00A036F8">
        <w:rPr>
          <w:rFonts w:cs="Times New Roman"/>
          <w:bCs/>
          <w:sz w:val="24"/>
          <w:szCs w:val="24"/>
        </w:rPr>
        <w:t>Crumbley</w:t>
      </w:r>
      <w:proofErr w:type="spellEnd"/>
      <w:r w:rsidR="00A036F8">
        <w:rPr>
          <w:rFonts w:cs="Times New Roman"/>
          <w:bCs/>
          <w:sz w:val="24"/>
          <w:szCs w:val="24"/>
        </w:rPr>
        <w:t xml:space="preserve">, </w:t>
      </w:r>
      <w:proofErr w:type="spellStart"/>
      <w:r w:rsidR="00A036F8">
        <w:rPr>
          <w:rFonts w:cs="Times New Roman"/>
          <w:bCs/>
          <w:sz w:val="24"/>
          <w:szCs w:val="24"/>
        </w:rPr>
        <w:t>Flinn</w:t>
      </w:r>
      <w:proofErr w:type="spellEnd"/>
      <w:r w:rsidR="00A036F8">
        <w:rPr>
          <w:rFonts w:cs="Times New Roman"/>
          <w:bCs/>
          <w:sz w:val="24"/>
          <w:szCs w:val="24"/>
        </w:rPr>
        <w:t xml:space="preserve">, and </w:t>
      </w:r>
      <w:proofErr w:type="spellStart"/>
      <w:r w:rsidR="00A036F8">
        <w:rPr>
          <w:rFonts w:cs="Times New Roman"/>
          <w:bCs/>
          <w:sz w:val="24"/>
          <w:szCs w:val="24"/>
        </w:rPr>
        <w:t>Reichelt</w:t>
      </w:r>
      <w:proofErr w:type="spellEnd"/>
      <w:r w:rsidR="00A036F8">
        <w:rPr>
          <w:rFonts w:cs="Times New Roman"/>
          <w:bCs/>
          <w:sz w:val="24"/>
          <w:szCs w:val="24"/>
        </w:rPr>
        <w:t xml:space="preserve">, 2012). </w:t>
      </w:r>
    </w:p>
    <w:p w:rsidR="00973481" w:rsidRDefault="00973481" w:rsidP="00DF1EE8">
      <w:pPr>
        <w:spacing w:before="100" w:beforeAutospacing="1" w:after="100" w:afterAutospacing="1" w:line="480" w:lineRule="auto"/>
        <w:contextualSpacing/>
        <w:jc w:val="center"/>
        <w:rPr>
          <w:rFonts w:cs="Times New Roman"/>
          <w:b/>
          <w:bCs/>
          <w:sz w:val="24"/>
          <w:szCs w:val="24"/>
        </w:rPr>
      </w:pPr>
      <w:r>
        <w:rPr>
          <w:rFonts w:cs="Times New Roman"/>
          <w:b/>
          <w:bCs/>
          <w:sz w:val="24"/>
          <w:szCs w:val="24"/>
        </w:rPr>
        <w:t>SYMPOSIUM OVERVIEW</w:t>
      </w:r>
    </w:p>
    <w:p w:rsidR="00DF1EE8" w:rsidRDefault="00DF1EE8" w:rsidP="00DF1EE8">
      <w:pPr>
        <w:spacing w:before="100" w:beforeAutospacing="1" w:after="100" w:afterAutospacing="1" w:line="480" w:lineRule="auto"/>
        <w:ind w:firstLine="720"/>
        <w:contextualSpacing/>
        <w:rPr>
          <w:rFonts w:eastAsia="Arial" w:cs="Times New Roman"/>
          <w:sz w:val="24"/>
          <w:szCs w:val="24"/>
        </w:rPr>
      </w:pPr>
      <w:r w:rsidRPr="001F288F">
        <w:rPr>
          <w:rFonts w:eastAsia="Arial" w:cs="Times New Roman"/>
          <w:spacing w:val="1"/>
          <w:sz w:val="24"/>
          <w:szCs w:val="24"/>
        </w:rPr>
        <w:t>T</w:t>
      </w:r>
      <w:r w:rsidRPr="001F288F">
        <w:rPr>
          <w:rFonts w:eastAsia="Arial" w:cs="Times New Roman"/>
          <w:sz w:val="24"/>
          <w:szCs w:val="24"/>
        </w:rPr>
        <w:t>h</w:t>
      </w:r>
      <w:r w:rsidRPr="001F288F">
        <w:rPr>
          <w:rFonts w:eastAsia="Arial" w:cs="Times New Roman"/>
          <w:spacing w:val="-2"/>
          <w:sz w:val="24"/>
          <w:szCs w:val="24"/>
        </w:rPr>
        <w:t>i</w:t>
      </w:r>
      <w:r w:rsidRPr="001F288F">
        <w:rPr>
          <w:rFonts w:eastAsia="Arial" w:cs="Times New Roman"/>
          <w:sz w:val="24"/>
          <w:szCs w:val="24"/>
        </w:rPr>
        <w:t>s</w:t>
      </w:r>
      <w:r w:rsidRPr="001F288F">
        <w:rPr>
          <w:rFonts w:eastAsia="Arial" w:cs="Times New Roman"/>
          <w:spacing w:val="-2"/>
          <w:sz w:val="24"/>
          <w:szCs w:val="24"/>
        </w:rPr>
        <w:t xml:space="preserve"> </w:t>
      </w:r>
      <w:r w:rsidRPr="001F288F">
        <w:rPr>
          <w:rFonts w:eastAsia="Arial" w:cs="Times New Roman"/>
          <w:sz w:val="24"/>
          <w:szCs w:val="24"/>
        </w:rPr>
        <w:t>symposium seeks to examine the extent to which academic rigor factors into approaches for instruction and learning at the course and program levels.</w:t>
      </w:r>
      <w:r>
        <w:rPr>
          <w:rFonts w:eastAsia="Arial" w:cs="Times New Roman"/>
          <w:sz w:val="24"/>
          <w:szCs w:val="24"/>
        </w:rPr>
        <w:t xml:space="preserve"> AACSB accreditation </w:t>
      </w:r>
      <w:r w:rsidR="00A036F8">
        <w:rPr>
          <w:rFonts w:eastAsia="Arial" w:cs="Times New Roman"/>
          <w:sz w:val="24"/>
          <w:szCs w:val="24"/>
        </w:rPr>
        <w:t xml:space="preserve">standards </w:t>
      </w:r>
      <w:r>
        <w:rPr>
          <w:rFonts w:eastAsia="Arial" w:cs="Times New Roman"/>
          <w:sz w:val="24"/>
          <w:szCs w:val="24"/>
        </w:rPr>
        <w:t>suggest</w:t>
      </w:r>
      <w:r w:rsidR="00A036F8">
        <w:rPr>
          <w:rFonts w:eastAsia="Arial" w:cs="Times New Roman"/>
          <w:sz w:val="24"/>
          <w:szCs w:val="24"/>
        </w:rPr>
        <w:t>s</w:t>
      </w:r>
      <w:r>
        <w:rPr>
          <w:rFonts w:eastAsia="Arial" w:cs="Times New Roman"/>
          <w:sz w:val="24"/>
          <w:szCs w:val="24"/>
        </w:rPr>
        <w:t xml:space="preserve"> general skill areas in written and oral communication, ethical understanding and reasoning, analytical thinking, and application of knowledge among others. It is then determined at the institution level how these skill areas are instructed and evaluated to determine whether outcomes </w:t>
      </w:r>
      <w:proofErr w:type="gramStart"/>
      <w:r>
        <w:rPr>
          <w:rFonts w:eastAsia="Arial" w:cs="Times New Roman"/>
          <w:sz w:val="24"/>
          <w:szCs w:val="24"/>
        </w:rPr>
        <w:t>are met</w:t>
      </w:r>
      <w:proofErr w:type="gramEnd"/>
      <w:r>
        <w:rPr>
          <w:rFonts w:eastAsia="Arial" w:cs="Times New Roman"/>
          <w:sz w:val="24"/>
          <w:szCs w:val="24"/>
        </w:rPr>
        <w:t xml:space="preserve">. </w:t>
      </w:r>
      <w:r w:rsidRPr="001F288F">
        <w:rPr>
          <w:rFonts w:eastAsia="Arial" w:cs="Times New Roman"/>
          <w:sz w:val="24"/>
          <w:szCs w:val="24"/>
        </w:rPr>
        <w:t xml:space="preserve">Presenters in this symposium will address institutional approaches to define academic rigor and the extent to which it </w:t>
      </w:r>
      <w:proofErr w:type="gramStart"/>
      <w:r w:rsidRPr="001F288F">
        <w:rPr>
          <w:rFonts w:eastAsia="Arial" w:cs="Times New Roman"/>
          <w:sz w:val="24"/>
          <w:szCs w:val="24"/>
        </w:rPr>
        <w:t>is reflected</w:t>
      </w:r>
      <w:proofErr w:type="gramEnd"/>
      <w:r w:rsidRPr="001F288F">
        <w:rPr>
          <w:rFonts w:eastAsia="Arial" w:cs="Times New Roman"/>
          <w:sz w:val="24"/>
          <w:szCs w:val="24"/>
        </w:rPr>
        <w:t xml:space="preserve"> in instructional approaches, assessment, and evidence from student learning outcomes and evaluation.</w:t>
      </w:r>
      <w:r>
        <w:rPr>
          <w:rFonts w:eastAsia="Arial" w:cs="Times New Roman"/>
          <w:sz w:val="24"/>
          <w:szCs w:val="24"/>
        </w:rPr>
        <w:t xml:space="preserve"> One specific approach is to utilize the rubr</w:t>
      </w:r>
      <w:r w:rsidR="00B47358">
        <w:rPr>
          <w:rFonts w:eastAsia="Arial" w:cs="Times New Roman"/>
          <w:sz w:val="24"/>
          <w:szCs w:val="24"/>
        </w:rPr>
        <w:t>ics commonly used for assurance</w:t>
      </w:r>
      <w:r>
        <w:rPr>
          <w:rFonts w:eastAsia="Arial" w:cs="Times New Roman"/>
          <w:sz w:val="24"/>
          <w:szCs w:val="24"/>
        </w:rPr>
        <w:t xml:space="preserve"> of learning to assess rigor in instructional approaches. We will provide an example of this process using written communication as the area of focus in the session. Written communication incorporates many other skill areas to include critical reasoning, analytical thinking, and application of knowledge so it is an appropriate topic for illustration in the symposium to assess rigor needed to accomplish outcomes. </w:t>
      </w:r>
    </w:p>
    <w:p w:rsidR="00DF1EE8" w:rsidRDefault="00DF1EE8" w:rsidP="00DF1EE8">
      <w:pPr>
        <w:pStyle w:val="BodyText"/>
        <w:spacing w:line="480" w:lineRule="auto"/>
        <w:ind w:right="101"/>
        <w:contextualSpacing/>
        <w:rPr>
          <w:bCs/>
          <w:sz w:val="24"/>
          <w:szCs w:val="24"/>
        </w:rPr>
      </w:pPr>
      <w:r>
        <w:rPr>
          <w:bCs/>
          <w:sz w:val="24"/>
          <w:szCs w:val="24"/>
        </w:rPr>
        <w:lastRenderedPageBreak/>
        <w:t>This symposium allows the MOBTS community to address academic rigor</w:t>
      </w:r>
      <w:r w:rsidRPr="006B1B55">
        <w:rPr>
          <w:bCs/>
          <w:sz w:val="24"/>
          <w:szCs w:val="24"/>
        </w:rPr>
        <w:t xml:space="preserve"> </w:t>
      </w:r>
      <w:r>
        <w:rPr>
          <w:bCs/>
          <w:sz w:val="24"/>
          <w:szCs w:val="24"/>
        </w:rPr>
        <w:t xml:space="preserve">with </w:t>
      </w:r>
      <w:proofErr w:type="gramStart"/>
      <w:r>
        <w:rPr>
          <w:bCs/>
          <w:sz w:val="24"/>
          <w:szCs w:val="24"/>
        </w:rPr>
        <w:t>ample opportunity</w:t>
      </w:r>
      <w:proofErr w:type="gramEnd"/>
      <w:r>
        <w:rPr>
          <w:bCs/>
          <w:sz w:val="24"/>
          <w:szCs w:val="24"/>
        </w:rPr>
        <w:t xml:space="preserve"> to discuss </w:t>
      </w:r>
      <w:r w:rsidRPr="006B1B55">
        <w:rPr>
          <w:bCs/>
          <w:sz w:val="24"/>
          <w:szCs w:val="24"/>
        </w:rPr>
        <w:t xml:space="preserve">teaching and learning facilitation </w:t>
      </w:r>
      <w:r>
        <w:rPr>
          <w:bCs/>
          <w:sz w:val="24"/>
          <w:szCs w:val="24"/>
        </w:rPr>
        <w:t xml:space="preserve">with a focus on </w:t>
      </w:r>
      <w:r w:rsidRPr="006B1B55">
        <w:rPr>
          <w:bCs/>
          <w:sz w:val="24"/>
          <w:szCs w:val="24"/>
        </w:rPr>
        <w:t xml:space="preserve">the following </w:t>
      </w:r>
      <w:r>
        <w:rPr>
          <w:bCs/>
          <w:sz w:val="24"/>
          <w:szCs w:val="24"/>
        </w:rPr>
        <w:t>discussion in the session:</w:t>
      </w:r>
    </w:p>
    <w:p w:rsidR="00DF1EE8" w:rsidRPr="00DF1EE8" w:rsidRDefault="00DF1EE8" w:rsidP="00DF1EE8">
      <w:pPr>
        <w:pStyle w:val="BodyText"/>
        <w:numPr>
          <w:ilvl w:val="0"/>
          <w:numId w:val="4"/>
        </w:numPr>
        <w:spacing w:line="480" w:lineRule="auto"/>
        <w:ind w:right="101"/>
        <w:contextualSpacing/>
        <w:rPr>
          <w:bCs/>
          <w:sz w:val="24"/>
          <w:szCs w:val="24"/>
        </w:rPr>
      </w:pPr>
      <w:r>
        <w:rPr>
          <w:bCs/>
          <w:sz w:val="24"/>
          <w:szCs w:val="24"/>
        </w:rPr>
        <w:t>Defining and integrating academic rigor in undergraduate vs. graduate programs, including institutional approaches to academic rigor in curricula</w:t>
      </w:r>
    </w:p>
    <w:p w:rsidR="00DF1EE8" w:rsidRPr="00DF1EE8" w:rsidRDefault="00DF1EE8" w:rsidP="00DF1EE8">
      <w:pPr>
        <w:pStyle w:val="BodyText"/>
        <w:numPr>
          <w:ilvl w:val="0"/>
          <w:numId w:val="4"/>
        </w:numPr>
        <w:spacing w:line="480" w:lineRule="auto"/>
        <w:ind w:right="101"/>
        <w:contextualSpacing/>
        <w:rPr>
          <w:bCs/>
          <w:sz w:val="24"/>
          <w:szCs w:val="24"/>
        </w:rPr>
      </w:pPr>
      <w:r>
        <w:rPr>
          <w:bCs/>
          <w:sz w:val="24"/>
          <w:szCs w:val="24"/>
        </w:rPr>
        <w:t>Achieving faculty consensus on academic rigor – course vs. program level strategies</w:t>
      </w:r>
    </w:p>
    <w:p w:rsidR="001F288F" w:rsidRDefault="00ED464E" w:rsidP="00DF1EE8">
      <w:pPr>
        <w:spacing w:before="100" w:beforeAutospacing="1" w:after="100" w:afterAutospacing="1" w:line="480" w:lineRule="auto"/>
        <w:contextualSpacing/>
        <w:jc w:val="center"/>
        <w:rPr>
          <w:rFonts w:eastAsia="Times New Roman" w:cs="Times New Roman"/>
          <w:b/>
          <w:bCs/>
          <w:sz w:val="24"/>
          <w:szCs w:val="24"/>
        </w:rPr>
      </w:pPr>
      <w:r>
        <w:rPr>
          <w:rFonts w:eastAsia="Times New Roman" w:cs="Times New Roman"/>
          <w:b/>
          <w:bCs/>
          <w:sz w:val="24"/>
          <w:szCs w:val="24"/>
        </w:rPr>
        <w:t>SESSION DESCRIPTION</w:t>
      </w:r>
      <w:r w:rsidR="00DF1EE8">
        <w:rPr>
          <w:rFonts w:eastAsia="Times New Roman" w:cs="Times New Roman"/>
          <w:b/>
          <w:bCs/>
          <w:sz w:val="24"/>
          <w:szCs w:val="24"/>
        </w:rPr>
        <w:t xml:space="preserve"> AND TIMLINE</w:t>
      </w:r>
    </w:p>
    <w:p w:rsidR="00DF1EE8" w:rsidRPr="00DF1EE8" w:rsidRDefault="00DF1EE8" w:rsidP="00DF1EE8">
      <w:pPr>
        <w:spacing w:before="100" w:beforeAutospacing="1" w:after="100" w:afterAutospacing="1" w:line="480" w:lineRule="auto"/>
        <w:ind w:firstLine="720"/>
        <w:contextualSpacing/>
        <w:rPr>
          <w:rFonts w:eastAsia="Times New Roman" w:cs="Times New Roman"/>
          <w:sz w:val="24"/>
          <w:szCs w:val="24"/>
        </w:rPr>
      </w:pPr>
      <w:r>
        <w:rPr>
          <w:rFonts w:eastAsia="Times New Roman" w:cs="Times New Roman"/>
          <w:sz w:val="24"/>
          <w:szCs w:val="24"/>
        </w:rPr>
        <w:t>The presenters in this session represent different institutional</w:t>
      </w:r>
      <w:r w:rsidR="00771FCF">
        <w:rPr>
          <w:rFonts w:eastAsia="Times New Roman" w:cs="Times New Roman"/>
          <w:sz w:val="24"/>
          <w:szCs w:val="24"/>
        </w:rPr>
        <w:t>, administrative,</w:t>
      </w:r>
      <w:r>
        <w:rPr>
          <w:rFonts w:eastAsia="Times New Roman" w:cs="Times New Roman"/>
          <w:sz w:val="24"/>
          <w:szCs w:val="24"/>
        </w:rPr>
        <w:t xml:space="preserve"> and career-level perspectives. Institutional perspectives include masters’ and doctoral granting institutions, as well as </w:t>
      </w:r>
      <w:r>
        <w:rPr>
          <w:rFonts w:eastAsia="Times New Roman" w:cs="Times New Roman"/>
          <w:sz w:val="24"/>
          <w:szCs w:val="24"/>
        </w:rPr>
        <w:t>HBCUs</w:t>
      </w:r>
      <w:r>
        <w:rPr>
          <w:rFonts w:eastAsia="Times New Roman" w:cs="Times New Roman"/>
          <w:sz w:val="24"/>
          <w:szCs w:val="24"/>
        </w:rPr>
        <w:t xml:space="preserve">. </w:t>
      </w:r>
      <w:r w:rsidR="00771FCF">
        <w:rPr>
          <w:rFonts w:eastAsia="Times New Roman" w:cs="Times New Roman"/>
          <w:sz w:val="24"/>
          <w:szCs w:val="24"/>
        </w:rPr>
        <w:t xml:space="preserve">Administrative perspectives include the department chair, assistant dean, graduate programs director, and assessment coordinator perspectives. </w:t>
      </w:r>
      <w:r>
        <w:rPr>
          <w:rFonts w:eastAsia="Times New Roman" w:cs="Times New Roman"/>
          <w:sz w:val="24"/>
          <w:szCs w:val="24"/>
        </w:rPr>
        <w:t>Career-level perspectives include early and later stage.</w:t>
      </w:r>
      <w:r>
        <w:rPr>
          <w:rFonts w:eastAsia="Times New Roman" w:cs="Times New Roman"/>
          <w:sz w:val="24"/>
          <w:szCs w:val="24"/>
        </w:rPr>
        <w:t xml:space="preserve"> </w:t>
      </w:r>
      <w:r>
        <w:rPr>
          <w:rFonts w:eastAsia="Times New Roman" w:cs="Times New Roman"/>
          <w:sz w:val="24"/>
          <w:szCs w:val="24"/>
        </w:rPr>
        <w:t xml:space="preserve">These varied perspectives provide value in two ways. First, session participants will </w:t>
      </w:r>
      <w:r w:rsidR="00771FCF">
        <w:rPr>
          <w:rFonts w:eastAsia="Times New Roman" w:cs="Times New Roman"/>
          <w:sz w:val="24"/>
          <w:szCs w:val="24"/>
        </w:rPr>
        <w:t>engage</w:t>
      </w:r>
      <w:r>
        <w:rPr>
          <w:rFonts w:eastAsia="Times New Roman" w:cs="Times New Roman"/>
          <w:sz w:val="24"/>
          <w:szCs w:val="24"/>
        </w:rPr>
        <w:t xml:space="preserve"> diverse approaches to ensure rigor. Second, this demonstrates how consensus across many backgrounds </w:t>
      </w:r>
      <w:proofErr w:type="gramStart"/>
      <w:r>
        <w:rPr>
          <w:rFonts w:eastAsia="Times New Roman" w:cs="Times New Roman"/>
          <w:sz w:val="24"/>
          <w:szCs w:val="24"/>
        </w:rPr>
        <w:t>can be built</w:t>
      </w:r>
      <w:proofErr w:type="gramEnd"/>
      <w:r>
        <w:rPr>
          <w:rFonts w:eastAsia="Times New Roman" w:cs="Times New Roman"/>
          <w:sz w:val="24"/>
          <w:szCs w:val="24"/>
        </w:rPr>
        <w:t xml:space="preserve"> around academic rigor.</w:t>
      </w:r>
    </w:p>
    <w:tbl>
      <w:tblPr>
        <w:tblStyle w:val="TableGrid"/>
        <w:tblW w:w="0" w:type="auto"/>
        <w:tblLook w:val="04A0" w:firstRow="1" w:lastRow="0" w:firstColumn="1" w:lastColumn="0" w:noHBand="0" w:noVBand="1"/>
      </w:tblPr>
      <w:tblGrid>
        <w:gridCol w:w="2486"/>
        <w:gridCol w:w="6864"/>
      </w:tblGrid>
      <w:tr w:rsidR="00360340" w:rsidTr="00360340">
        <w:tc>
          <w:tcPr>
            <w:tcW w:w="2538" w:type="dxa"/>
          </w:tcPr>
          <w:p w:rsidR="00360340" w:rsidRDefault="00360340" w:rsidP="002E37D1">
            <w:pPr>
              <w:spacing w:before="100" w:beforeAutospacing="1" w:after="100" w:afterAutospacing="1" w:line="480" w:lineRule="auto"/>
              <w:contextualSpacing/>
              <w:rPr>
                <w:rFonts w:eastAsia="Times New Roman" w:cs="Times New Roman"/>
                <w:sz w:val="24"/>
                <w:szCs w:val="24"/>
              </w:rPr>
            </w:pPr>
            <w:r>
              <w:rPr>
                <w:rFonts w:eastAsia="Times New Roman" w:cs="Times New Roman"/>
                <w:b/>
                <w:bCs/>
                <w:sz w:val="24"/>
                <w:szCs w:val="24"/>
              </w:rPr>
              <w:br w:type="page"/>
            </w:r>
            <w:r>
              <w:rPr>
                <w:rFonts w:eastAsia="Times New Roman" w:cs="Times New Roman"/>
                <w:sz w:val="24"/>
                <w:szCs w:val="24"/>
              </w:rPr>
              <w:t>5 minutes</w:t>
            </w:r>
          </w:p>
        </w:tc>
        <w:tc>
          <w:tcPr>
            <w:tcW w:w="7038" w:type="dxa"/>
          </w:tcPr>
          <w:p w:rsidR="00360340" w:rsidRDefault="00DF1EE8" w:rsidP="002E37D1">
            <w:pPr>
              <w:spacing w:before="100" w:beforeAutospacing="1" w:after="100" w:afterAutospacing="1" w:line="480" w:lineRule="auto"/>
              <w:contextualSpacing/>
              <w:rPr>
                <w:rFonts w:eastAsia="Times New Roman" w:cs="Times New Roman"/>
                <w:sz w:val="24"/>
                <w:szCs w:val="24"/>
              </w:rPr>
            </w:pPr>
            <w:r>
              <w:rPr>
                <w:rFonts w:eastAsia="Times New Roman" w:cs="Times New Roman"/>
                <w:sz w:val="24"/>
                <w:szCs w:val="24"/>
              </w:rPr>
              <w:t>Welcome and introduction</w:t>
            </w:r>
          </w:p>
        </w:tc>
      </w:tr>
      <w:tr w:rsidR="00360340" w:rsidTr="00360340">
        <w:tc>
          <w:tcPr>
            <w:tcW w:w="2538" w:type="dxa"/>
          </w:tcPr>
          <w:p w:rsidR="00360340" w:rsidRDefault="00360340" w:rsidP="002E37D1">
            <w:pPr>
              <w:spacing w:before="100" w:beforeAutospacing="1" w:after="100" w:afterAutospacing="1" w:line="480" w:lineRule="auto"/>
              <w:contextualSpacing/>
              <w:rPr>
                <w:rFonts w:eastAsia="Times New Roman" w:cs="Times New Roman"/>
                <w:sz w:val="24"/>
                <w:szCs w:val="24"/>
              </w:rPr>
            </w:pPr>
            <w:r>
              <w:rPr>
                <w:rFonts w:eastAsia="Times New Roman" w:cs="Times New Roman"/>
                <w:sz w:val="24"/>
                <w:szCs w:val="24"/>
              </w:rPr>
              <w:t>15 minutes</w:t>
            </w:r>
          </w:p>
        </w:tc>
        <w:tc>
          <w:tcPr>
            <w:tcW w:w="7038" w:type="dxa"/>
          </w:tcPr>
          <w:p w:rsidR="00360340" w:rsidRDefault="00360340" w:rsidP="002E37D1">
            <w:pPr>
              <w:spacing w:before="100" w:beforeAutospacing="1" w:after="100" w:afterAutospacing="1" w:line="480" w:lineRule="auto"/>
              <w:contextualSpacing/>
              <w:rPr>
                <w:rFonts w:eastAsia="Times New Roman" w:cs="Times New Roman"/>
                <w:sz w:val="24"/>
                <w:szCs w:val="24"/>
              </w:rPr>
            </w:pPr>
            <w:r>
              <w:rPr>
                <w:rFonts w:eastAsia="Times New Roman" w:cs="Times New Roman"/>
                <w:sz w:val="24"/>
                <w:szCs w:val="24"/>
              </w:rPr>
              <w:t>Group breakout - Think, pair, and share approach to identify how rigor is defined and/or modeled at institutions represented among participants</w:t>
            </w:r>
          </w:p>
        </w:tc>
      </w:tr>
      <w:tr w:rsidR="00360340" w:rsidTr="00360340">
        <w:tc>
          <w:tcPr>
            <w:tcW w:w="2538" w:type="dxa"/>
          </w:tcPr>
          <w:p w:rsidR="00360340" w:rsidRDefault="00360340" w:rsidP="002E37D1">
            <w:pPr>
              <w:spacing w:before="100" w:beforeAutospacing="1" w:after="100" w:afterAutospacing="1" w:line="480" w:lineRule="auto"/>
              <w:contextualSpacing/>
              <w:rPr>
                <w:rFonts w:eastAsia="Times New Roman" w:cs="Times New Roman"/>
                <w:sz w:val="24"/>
                <w:szCs w:val="24"/>
              </w:rPr>
            </w:pPr>
            <w:r>
              <w:rPr>
                <w:rFonts w:eastAsia="Times New Roman" w:cs="Times New Roman"/>
                <w:sz w:val="24"/>
                <w:szCs w:val="24"/>
              </w:rPr>
              <w:t>10 minutes</w:t>
            </w:r>
          </w:p>
        </w:tc>
        <w:tc>
          <w:tcPr>
            <w:tcW w:w="7038" w:type="dxa"/>
          </w:tcPr>
          <w:p w:rsidR="00360340" w:rsidRDefault="00360340" w:rsidP="002E37D1">
            <w:pPr>
              <w:spacing w:before="100" w:beforeAutospacing="1" w:after="100" w:afterAutospacing="1" w:line="480" w:lineRule="auto"/>
              <w:contextualSpacing/>
              <w:rPr>
                <w:rFonts w:eastAsia="Times New Roman" w:cs="Times New Roman"/>
                <w:sz w:val="24"/>
                <w:szCs w:val="24"/>
              </w:rPr>
            </w:pPr>
            <w:r>
              <w:rPr>
                <w:rFonts w:eastAsia="Times New Roman" w:cs="Times New Roman"/>
                <w:sz w:val="24"/>
                <w:szCs w:val="24"/>
              </w:rPr>
              <w:t>Debrief on how academic rigor is approached to share with full audience</w:t>
            </w:r>
          </w:p>
        </w:tc>
      </w:tr>
      <w:tr w:rsidR="00360340" w:rsidTr="00360340">
        <w:tc>
          <w:tcPr>
            <w:tcW w:w="2538" w:type="dxa"/>
          </w:tcPr>
          <w:p w:rsidR="00360340" w:rsidRDefault="00360340" w:rsidP="002E37D1">
            <w:pPr>
              <w:spacing w:before="100" w:beforeAutospacing="1" w:after="100" w:afterAutospacing="1" w:line="480" w:lineRule="auto"/>
              <w:contextualSpacing/>
              <w:rPr>
                <w:rFonts w:eastAsia="Times New Roman" w:cs="Times New Roman"/>
                <w:sz w:val="24"/>
                <w:szCs w:val="24"/>
              </w:rPr>
            </w:pPr>
            <w:r>
              <w:rPr>
                <w:rFonts w:eastAsia="Times New Roman" w:cs="Times New Roman"/>
                <w:sz w:val="24"/>
                <w:szCs w:val="24"/>
              </w:rPr>
              <w:t>20 minutes</w:t>
            </w:r>
          </w:p>
        </w:tc>
        <w:tc>
          <w:tcPr>
            <w:tcW w:w="7038" w:type="dxa"/>
          </w:tcPr>
          <w:p w:rsidR="00360340" w:rsidRDefault="00360340" w:rsidP="002E37D1">
            <w:pPr>
              <w:spacing w:before="100" w:beforeAutospacing="1" w:after="100" w:afterAutospacing="1" w:line="480" w:lineRule="auto"/>
              <w:contextualSpacing/>
              <w:rPr>
                <w:rFonts w:eastAsia="Times New Roman" w:cs="Times New Roman"/>
                <w:sz w:val="24"/>
                <w:szCs w:val="24"/>
              </w:rPr>
            </w:pPr>
            <w:r>
              <w:rPr>
                <w:rFonts w:eastAsia="Times New Roman" w:cs="Times New Roman"/>
                <w:sz w:val="24"/>
                <w:szCs w:val="24"/>
              </w:rPr>
              <w:t xml:space="preserve">Model how to define and assess rigor in undergraduate vs. graduate courses using “written communication” as the focus; Presenter will </w:t>
            </w:r>
            <w:r>
              <w:rPr>
                <w:rFonts w:eastAsia="Times New Roman" w:cs="Times New Roman"/>
                <w:sz w:val="24"/>
                <w:szCs w:val="24"/>
              </w:rPr>
              <w:lastRenderedPageBreak/>
              <w:t>demonstrate how a rubric typically used for assessment of learning can be used to capture academic rigor; Participants will evaluate rigor and share best strategies</w:t>
            </w:r>
          </w:p>
        </w:tc>
      </w:tr>
      <w:tr w:rsidR="00360340" w:rsidTr="00360340">
        <w:tc>
          <w:tcPr>
            <w:tcW w:w="2538" w:type="dxa"/>
          </w:tcPr>
          <w:p w:rsidR="00360340" w:rsidRDefault="00360340" w:rsidP="002E37D1">
            <w:pPr>
              <w:spacing w:before="100" w:beforeAutospacing="1" w:after="100" w:afterAutospacing="1" w:line="480" w:lineRule="auto"/>
              <w:contextualSpacing/>
              <w:rPr>
                <w:rFonts w:eastAsia="Times New Roman" w:cs="Times New Roman"/>
                <w:sz w:val="24"/>
                <w:szCs w:val="24"/>
              </w:rPr>
            </w:pPr>
            <w:r>
              <w:rPr>
                <w:rFonts w:eastAsia="Times New Roman" w:cs="Times New Roman"/>
                <w:sz w:val="24"/>
                <w:szCs w:val="24"/>
              </w:rPr>
              <w:lastRenderedPageBreak/>
              <w:t>10 minutes</w:t>
            </w:r>
          </w:p>
        </w:tc>
        <w:tc>
          <w:tcPr>
            <w:tcW w:w="7038" w:type="dxa"/>
          </w:tcPr>
          <w:p w:rsidR="00360340" w:rsidRDefault="00360340" w:rsidP="002E37D1">
            <w:pPr>
              <w:spacing w:before="100" w:beforeAutospacing="1" w:after="100" w:afterAutospacing="1" w:line="480" w:lineRule="auto"/>
              <w:contextualSpacing/>
              <w:rPr>
                <w:rFonts w:eastAsia="Times New Roman" w:cs="Times New Roman"/>
                <w:sz w:val="24"/>
                <w:szCs w:val="24"/>
              </w:rPr>
            </w:pPr>
            <w:r>
              <w:rPr>
                <w:rFonts w:eastAsia="Times New Roman" w:cs="Times New Roman"/>
                <w:sz w:val="24"/>
                <w:szCs w:val="24"/>
              </w:rPr>
              <w:t>Debrief on the application of the rubric for assessing academic rigor</w:t>
            </w:r>
          </w:p>
        </w:tc>
      </w:tr>
      <w:tr w:rsidR="00360340" w:rsidTr="00360340">
        <w:tc>
          <w:tcPr>
            <w:tcW w:w="2538" w:type="dxa"/>
          </w:tcPr>
          <w:p w:rsidR="00360340" w:rsidRDefault="00360340" w:rsidP="002E37D1">
            <w:pPr>
              <w:spacing w:before="100" w:beforeAutospacing="1" w:after="100" w:afterAutospacing="1" w:line="480" w:lineRule="auto"/>
              <w:contextualSpacing/>
              <w:rPr>
                <w:rFonts w:eastAsia="Times New Roman" w:cs="Times New Roman"/>
                <w:sz w:val="24"/>
                <w:szCs w:val="24"/>
              </w:rPr>
            </w:pPr>
            <w:r>
              <w:rPr>
                <w:rFonts w:eastAsia="Times New Roman" w:cs="Times New Roman"/>
                <w:sz w:val="24"/>
                <w:szCs w:val="24"/>
              </w:rPr>
              <w:t>20 minutes</w:t>
            </w:r>
          </w:p>
        </w:tc>
        <w:tc>
          <w:tcPr>
            <w:tcW w:w="7038" w:type="dxa"/>
          </w:tcPr>
          <w:p w:rsidR="00360340" w:rsidRDefault="00360340" w:rsidP="002E37D1">
            <w:pPr>
              <w:spacing w:before="100" w:beforeAutospacing="1" w:after="100" w:afterAutospacing="1" w:line="480" w:lineRule="auto"/>
              <w:contextualSpacing/>
              <w:rPr>
                <w:rFonts w:eastAsia="Times New Roman" w:cs="Times New Roman"/>
                <w:sz w:val="24"/>
                <w:szCs w:val="24"/>
              </w:rPr>
            </w:pPr>
            <w:r>
              <w:rPr>
                <w:rFonts w:eastAsia="Times New Roman" w:cs="Times New Roman"/>
                <w:sz w:val="24"/>
                <w:szCs w:val="24"/>
              </w:rPr>
              <w:t>Strategies for achieving faculty consensus on academic rigor aimed for use at departmental and program-level</w:t>
            </w:r>
          </w:p>
        </w:tc>
      </w:tr>
      <w:tr w:rsidR="00360340" w:rsidTr="00360340">
        <w:tc>
          <w:tcPr>
            <w:tcW w:w="2538" w:type="dxa"/>
          </w:tcPr>
          <w:p w:rsidR="00360340" w:rsidRDefault="00360340" w:rsidP="002E37D1">
            <w:pPr>
              <w:spacing w:before="100" w:beforeAutospacing="1" w:after="100" w:afterAutospacing="1" w:line="480" w:lineRule="auto"/>
              <w:contextualSpacing/>
              <w:rPr>
                <w:rFonts w:eastAsia="Times New Roman" w:cs="Times New Roman"/>
                <w:sz w:val="24"/>
                <w:szCs w:val="24"/>
              </w:rPr>
            </w:pPr>
            <w:r>
              <w:rPr>
                <w:rFonts w:eastAsia="Times New Roman" w:cs="Times New Roman"/>
                <w:sz w:val="24"/>
                <w:szCs w:val="24"/>
              </w:rPr>
              <w:t>10 minutes</w:t>
            </w:r>
          </w:p>
        </w:tc>
        <w:tc>
          <w:tcPr>
            <w:tcW w:w="7038" w:type="dxa"/>
          </w:tcPr>
          <w:p w:rsidR="00360340" w:rsidRDefault="00360340" w:rsidP="002E37D1">
            <w:pPr>
              <w:spacing w:before="100" w:beforeAutospacing="1" w:after="100" w:afterAutospacing="1" w:line="480" w:lineRule="auto"/>
              <w:contextualSpacing/>
              <w:rPr>
                <w:rFonts w:eastAsia="Times New Roman" w:cs="Times New Roman"/>
                <w:sz w:val="24"/>
                <w:szCs w:val="24"/>
              </w:rPr>
            </w:pPr>
            <w:r>
              <w:rPr>
                <w:rFonts w:eastAsia="Times New Roman" w:cs="Times New Roman"/>
                <w:sz w:val="24"/>
                <w:szCs w:val="24"/>
              </w:rPr>
              <w:t xml:space="preserve">Session wrap-up and </w:t>
            </w:r>
            <w:r w:rsidR="00941181">
              <w:rPr>
                <w:rFonts w:eastAsia="Times New Roman" w:cs="Times New Roman"/>
                <w:sz w:val="24"/>
                <w:szCs w:val="24"/>
              </w:rPr>
              <w:t>introduction of Dropbox to share session materials</w:t>
            </w:r>
          </w:p>
        </w:tc>
      </w:tr>
    </w:tbl>
    <w:p w:rsidR="00DF1EE8" w:rsidRDefault="00DF1EE8" w:rsidP="00B1125B">
      <w:pPr>
        <w:spacing w:before="100" w:beforeAutospacing="1" w:after="100" w:afterAutospacing="1" w:line="480" w:lineRule="auto"/>
        <w:contextualSpacing/>
        <w:jc w:val="center"/>
        <w:rPr>
          <w:rFonts w:eastAsia="Arial" w:cs="Times New Roman"/>
          <w:spacing w:val="-1"/>
          <w:sz w:val="24"/>
        </w:rPr>
      </w:pPr>
    </w:p>
    <w:p w:rsidR="00DF1EE8" w:rsidRDefault="00DF1EE8">
      <w:pPr>
        <w:rPr>
          <w:rFonts w:eastAsia="Arial" w:cs="Times New Roman"/>
          <w:spacing w:val="-1"/>
          <w:sz w:val="24"/>
        </w:rPr>
      </w:pPr>
      <w:r>
        <w:rPr>
          <w:rFonts w:eastAsia="Arial" w:cs="Times New Roman"/>
          <w:spacing w:val="-1"/>
          <w:sz w:val="24"/>
        </w:rPr>
        <w:br w:type="page"/>
      </w:r>
    </w:p>
    <w:p w:rsidR="007314D5" w:rsidRDefault="00284199" w:rsidP="00B1125B">
      <w:pPr>
        <w:spacing w:before="100" w:beforeAutospacing="1" w:after="100" w:afterAutospacing="1" w:line="480" w:lineRule="auto"/>
        <w:contextualSpacing/>
        <w:jc w:val="center"/>
        <w:rPr>
          <w:rFonts w:eastAsia="Times New Roman" w:cs="Times New Roman"/>
          <w:b/>
          <w:sz w:val="24"/>
          <w:szCs w:val="24"/>
        </w:rPr>
      </w:pPr>
      <w:r>
        <w:rPr>
          <w:rFonts w:eastAsia="Times New Roman" w:cs="Times New Roman"/>
          <w:b/>
          <w:sz w:val="24"/>
          <w:szCs w:val="24"/>
        </w:rPr>
        <w:lastRenderedPageBreak/>
        <w:t>REFERENCES</w:t>
      </w:r>
    </w:p>
    <w:p w:rsidR="00973481" w:rsidRDefault="00973481" w:rsidP="00973481">
      <w:pPr>
        <w:spacing w:before="100" w:beforeAutospacing="1" w:after="100" w:afterAutospacing="1" w:line="480" w:lineRule="auto"/>
        <w:ind w:left="720" w:hanging="720"/>
        <w:contextualSpacing/>
        <w:rPr>
          <w:rFonts w:eastAsia="Times New Roman" w:cs="Times New Roman"/>
          <w:sz w:val="24"/>
          <w:szCs w:val="24"/>
        </w:rPr>
      </w:pPr>
      <w:r>
        <w:rPr>
          <w:rFonts w:eastAsia="Times New Roman" w:cs="Times New Roman"/>
          <w:sz w:val="24"/>
          <w:szCs w:val="24"/>
        </w:rPr>
        <w:t xml:space="preserve">Arum, R., &amp; </w:t>
      </w:r>
      <w:proofErr w:type="spellStart"/>
      <w:r>
        <w:rPr>
          <w:rFonts w:eastAsia="Times New Roman" w:cs="Times New Roman"/>
          <w:sz w:val="24"/>
          <w:szCs w:val="24"/>
        </w:rPr>
        <w:t>Roska</w:t>
      </w:r>
      <w:proofErr w:type="spellEnd"/>
      <w:r>
        <w:rPr>
          <w:rFonts w:eastAsia="Times New Roman" w:cs="Times New Roman"/>
          <w:sz w:val="24"/>
          <w:szCs w:val="24"/>
        </w:rPr>
        <w:t xml:space="preserve">, J. (2011). </w:t>
      </w:r>
      <w:r>
        <w:rPr>
          <w:rFonts w:eastAsia="Times New Roman" w:cs="Times New Roman"/>
          <w:i/>
          <w:sz w:val="24"/>
          <w:szCs w:val="24"/>
        </w:rPr>
        <w:t>Academically adrift: Limited learning on college campuses.</w:t>
      </w:r>
      <w:r>
        <w:rPr>
          <w:rFonts w:eastAsia="Times New Roman" w:cs="Times New Roman"/>
          <w:sz w:val="24"/>
          <w:szCs w:val="24"/>
        </w:rPr>
        <w:t xml:space="preserve"> Chicago: University of Chicago Press.</w:t>
      </w:r>
    </w:p>
    <w:p w:rsidR="00973481" w:rsidRDefault="00973481" w:rsidP="00973481">
      <w:pPr>
        <w:spacing w:before="100" w:beforeAutospacing="1" w:after="100" w:afterAutospacing="1" w:line="480" w:lineRule="auto"/>
        <w:ind w:left="720" w:hanging="720"/>
        <w:contextualSpacing/>
        <w:rPr>
          <w:rFonts w:eastAsia="Times New Roman" w:cs="Times New Roman"/>
          <w:sz w:val="24"/>
          <w:szCs w:val="24"/>
        </w:rPr>
      </w:pPr>
      <w:proofErr w:type="spellStart"/>
      <w:r>
        <w:rPr>
          <w:rFonts w:eastAsia="Times New Roman" w:cs="Times New Roman"/>
          <w:sz w:val="24"/>
          <w:szCs w:val="24"/>
        </w:rPr>
        <w:t>Clinebell</w:t>
      </w:r>
      <w:proofErr w:type="spellEnd"/>
      <w:r>
        <w:rPr>
          <w:rFonts w:eastAsia="Times New Roman" w:cs="Times New Roman"/>
          <w:sz w:val="24"/>
          <w:szCs w:val="24"/>
        </w:rPr>
        <w:t xml:space="preserve">, S., &amp; </w:t>
      </w:r>
      <w:proofErr w:type="spellStart"/>
      <w:r>
        <w:rPr>
          <w:rFonts w:eastAsia="Times New Roman" w:cs="Times New Roman"/>
          <w:sz w:val="24"/>
          <w:szCs w:val="24"/>
        </w:rPr>
        <w:t>Clinebell</w:t>
      </w:r>
      <w:proofErr w:type="spellEnd"/>
      <w:r>
        <w:rPr>
          <w:rFonts w:eastAsia="Times New Roman" w:cs="Times New Roman"/>
          <w:sz w:val="24"/>
          <w:szCs w:val="24"/>
        </w:rPr>
        <w:t xml:space="preserve">, J. (2008). The tension in business education between academic rigor and real-world relevance: The role of executive professors. </w:t>
      </w:r>
      <w:r>
        <w:rPr>
          <w:rFonts w:eastAsia="Times New Roman" w:cs="Times New Roman"/>
          <w:i/>
          <w:sz w:val="24"/>
          <w:szCs w:val="24"/>
        </w:rPr>
        <w:t>Academy of Management Learning &amp; Education, 7</w:t>
      </w:r>
      <w:r w:rsidRPr="00973481">
        <w:rPr>
          <w:rFonts w:eastAsia="Times New Roman" w:cs="Times New Roman"/>
          <w:sz w:val="24"/>
          <w:szCs w:val="24"/>
        </w:rPr>
        <w:t>(1),</w:t>
      </w:r>
      <w:r>
        <w:rPr>
          <w:rFonts w:eastAsia="Times New Roman" w:cs="Times New Roman"/>
          <w:sz w:val="24"/>
          <w:szCs w:val="24"/>
        </w:rPr>
        <w:t xml:space="preserve"> 99-107.</w:t>
      </w:r>
    </w:p>
    <w:p w:rsidR="00973481" w:rsidRDefault="00973481" w:rsidP="00973481">
      <w:pPr>
        <w:spacing w:before="100" w:beforeAutospacing="1" w:after="100" w:afterAutospacing="1" w:line="480" w:lineRule="auto"/>
        <w:ind w:left="720" w:hanging="720"/>
        <w:contextualSpacing/>
        <w:rPr>
          <w:rFonts w:eastAsia="Times New Roman" w:cs="Times New Roman"/>
          <w:sz w:val="24"/>
          <w:szCs w:val="24"/>
        </w:rPr>
      </w:pPr>
      <w:proofErr w:type="spellStart"/>
      <w:r>
        <w:rPr>
          <w:rFonts w:eastAsia="Times New Roman" w:cs="Times New Roman"/>
          <w:sz w:val="24"/>
          <w:szCs w:val="24"/>
        </w:rPr>
        <w:t>Crumbley</w:t>
      </w:r>
      <w:proofErr w:type="spellEnd"/>
      <w:r>
        <w:rPr>
          <w:rFonts w:eastAsia="Times New Roman" w:cs="Times New Roman"/>
          <w:sz w:val="24"/>
          <w:szCs w:val="24"/>
        </w:rPr>
        <w:t xml:space="preserve">, D., </w:t>
      </w:r>
      <w:proofErr w:type="spellStart"/>
      <w:r>
        <w:rPr>
          <w:rFonts w:eastAsia="Times New Roman" w:cs="Times New Roman"/>
          <w:sz w:val="24"/>
          <w:szCs w:val="24"/>
        </w:rPr>
        <w:t>Flinn</w:t>
      </w:r>
      <w:proofErr w:type="spellEnd"/>
      <w:r>
        <w:rPr>
          <w:rFonts w:eastAsia="Times New Roman" w:cs="Times New Roman"/>
          <w:sz w:val="24"/>
          <w:szCs w:val="24"/>
        </w:rPr>
        <w:t xml:space="preserve">, R., &amp; </w:t>
      </w:r>
      <w:proofErr w:type="spellStart"/>
      <w:r>
        <w:rPr>
          <w:rFonts w:eastAsia="Times New Roman" w:cs="Times New Roman"/>
          <w:sz w:val="24"/>
          <w:szCs w:val="24"/>
        </w:rPr>
        <w:t>Reichelt</w:t>
      </w:r>
      <w:proofErr w:type="spellEnd"/>
      <w:r>
        <w:rPr>
          <w:rFonts w:eastAsia="Times New Roman" w:cs="Times New Roman"/>
          <w:sz w:val="24"/>
          <w:szCs w:val="24"/>
        </w:rPr>
        <w:t xml:space="preserve">, K. (2012). Unethical and deadly symbiosis in higher education. </w:t>
      </w:r>
      <w:r>
        <w:rPr>
          <w:rFonts w:eastAsia="Times New Roman" w:cs="Times New Roman"/>
          <w:i/>
          <w:sz w:val="24"/>
          <w:szCs w:val="24"/>
        </w:rPr>
        <w:t>Accounting Education: An International Journal, 21</w:t>
      </w:r>
      <w:r w:rsidRPr="00973481">
        <w:rPr>
          <w:rFonts w:eastAsia="Times New Roman" w:cs="Times New Roman"/>
          <w:sz w:val="24"/>
          <w:szCs w:val="24"/>
        </w:rPr>
        <w:t>(3)</w:t>
      </w:r>
      <w:r>
        <w:rPr>
          <w:rFonts w:eastAsia="Times New Roman" w:cs="Times New Roman"/>
          <w:sz w:val="24"/>
          <w:szCs w:val="24"/>
        </w:rPr>
        <w:t>, 307-318.</w:t>
      </w:r>
    </w:p>
    <w:p w:rsidR="006855D0" w:rsidRPr="006855D0" w:rsidRDefault="006855D0" w:rsidP="00973481">
      <w:pPr>
        <w:spacing w:before="100" w:beforeAutospacing="1" w:after="100" w:afterAutospacing="1" w:line="480" w:lineRule="auto"/>
        <w:ind w:left="720" w:hanging="720"/>
        <w:contextualSpacing/>
        <w:rPr>
          <w:rFonts w:eastAsia="Times New Roman" w:cs="Times New Roman"/>
          <w:sz w:val="24"/>
          <w:szCs w:val="24"/>
        </w:rPr>
      </w:pPr>
      <w:proofErr w:type="spellStart"/>
      <w:r>
        <w:rPr>
          <w:rFonts w:eastAsia="Times New Roman" w:cs="Times New Roman"/>
          <w:sz w:val="24"/>
          <w:szCs w:val="24"/>
        </w:rPr>
        <w:t>Draeger</w:t>
      </w:r>
      <w:proofErr w:type="spellEnd"/>
      <w:r>
        <w:rPr>
          <w:rFonts w:eastAsia="Times New Roman" w:cs="Times New Roman"/>
          <w:sz w:val="24"/>
          <w:szCs w:val="24"/>
        </w:rPr>
        <w:t xml:space="preserve">, J., Hill, P., &amp; Hunter, L. (2013). The anatomy of academic rigor: The story of one institutional journey. </w:t>
      </w:r>
      <w:r>
        <w:rPr>
          <w:rFonts w:eastAsia="Times New Roman" w:cs="Times New Roman"/>
          <w:i/>
          <w:sz w:val="24"/>
          <w:szCs w:val="24"/>
        </w:rPr>
        <w:t>Innovative Higher Education, 38</w:t>
      </w:r>
      <w:r>
        <w:rPr>
          <w:rFonts w:eastAsia="Times New Roman" w:cs="Times New Roman"/>
          <w:sz w:val="24"/>
          <w:szCs w:val="24"/>
        </w:rPr>
        <w:t>, 267-279.</w:t>
      </w:r>
    </w:p>
    <w:p w:rsidR="00973481" w:rsidRDefault="00973481" w:rsidP="00973481">
      <w:pPr>
        <w:spacing w:before="100" w:beforeAutospacing="1" w:after="100" w:afterAutospacing="1" w:line="480" w:lineRule="auto"/>
        <w:ind w:left="720" w:hanging="720"/>
        <w:contextualSpacing/>
        <w:rPr>
          <w:rFonts w:eastAsia="Times New Roman" w:cs="Times New Roman"/>
          <w:sz w:val="24"/>
          <w:szCs w:val="24"/>
        </w:rPr>
      </w:pPr>
      <w:proofErr w:type="spellStart"/>
      <w:r>
        <w:rPr>
          <w:rFonts w:eastAsia="Times New Roman" w:cs="Times New Roman"/>
          <w:sz w:val="24"/>
          <w:szCs w:val="24"/>
        </w:rPr>
        <w:t>Draeger</w:t>
      </w:r>
      <w:proofErr w:type="spellEnd"/>
      <w:r>
        <w:rPr>
          <w:rFonts w:eastAsia="Times New Roman" w:cs="Times New Roman"/>
          <w:sz w:val="24"/>
          <w:szCs w:val="24"/>
        </w:rPr>
        <w:t xml:space="preserve">, J., Hill, P., &amp; Mahler, R. (2015). Developing a student conception of academic rigor. </w:t>
      </w:r>
      <w:r>
        <w:rPr>
          <w:rFonts w:eastAsia="Times New Roman" w:cs="Times New Roman"/>
          <w:i/>
          <w:sz w:val="24"/>
          <w:szCs w:val="24"/>
        </w:rPr>
        <w:t xml:space="preserve">Innovative Higher Education, </w:t>
      </w:r>
      <w:r w:rsidR="006855D0">
        <w:rPr>
          <w:rFonts w:eastAsia="Times New Roman" w:cs="Times New Roman"/>
          <w:i/>
          <w:sz w:val="24"/>
          <w:szCs w:val="24"/>
        </w:rPr>
        <w:t>40</w:t>
      </w:r>
      <w:r w:rsidR="006855D0">
        <w:rPr>
          <w:rFonts w:eastAsia="Times New Roman" w:cs="Times New Roman"/>
          <w:sz w:val="24"/>
          <w:szCs w:val="24"/>
        </w:rPr>
        <w:t>, 215-228.</w:t>
      </w:r>
    </w:p>
    <w:p w:rsidR="00284199" w:rsidRPr="00284199" w:rsidRDefault="00284199" w:rsidP="00973481">
      <w:pPr>
        <w:spacing w:before="100" w:beforeAutospacing="1" w:after="100" w:afterAutospacing="1" w:line="480" w:lineRule="auto"/>
        <w:ind w:left="720" w:hanging="720"/>
        <w:contextualSpacing/>
        <w:rPr>
          <w:rFonts w:eastAsia="Times New Roman" w:cs="Times New Roman"/>
          <w:sz w:val="24"/>
          <w:szCs w:val="24"/>
        </w:rPr>
      </w:pPr>
      <w:r>
        <w:rPr>
          <w:rFonts w:eastAsia="Times New Roman" w:cs="Times New Roman"/>
          <w:sz w:val="24"/>
          <w:szCs w:val="24"/>
        </w:rPr>
        <w:t xml:space="preserve">Gordon, R., &amp; Howell, J. (1959). </w:t>
      </w:r>
      <w:r>
        <w:rPr>
          <w:rFonts w:eastAsia="Times New Roman" w:cs="Times New Roman"/>
          <w:i/>
          <w:sz w:val="24"/>
          <w:szCs w:val="24"/>
        </w:rPr>
        <w:t>Higher education for business</w:t>
      </w:r>
      <w:r>
        <w:rPr>
          <w:rFonts w:eastAsia="Times New Roman" w:cs="Times New Roman"/>
          <w:sz w:val="24"/>
          <w:szCs w:val="24"/>
        </w:rPr>
        <w:t>. New York: Columbia University Press.</w:t>
      </w:r>
    </w:p>
    <w:p w:rsidR="00973481" w:rsidRPr="00973481" w:rsidRDefault="00973481" w:rsidP="00973481">
      <w:pPr>
        <w:spacing w:before="100" w:beforeAutospacing="1" w:after="100" w:afterAutospacing="1" w:line="480" w:lineRule="auto"/>
        <w:ind w:left="720" w:hanging="720"/>
        <w:contextualSpacing/>
        <w:rPr>
          <w:rFonts w:eastAsia="Times New Roman" w:cs="Times New Roman"/>
          <w:i/>
          <w:sz w:val="24"/>
          <w:szCs w:val="24"/>
        </w:rPr>
      </w:pPr>
    </w:p>
    <w:p w:rsidR="00934B04" w:rsidRPr="001F288F" w:rsidRDefault="00934B04" w:rsidP="00934B04">
      <w:pPr>
        <w:pBdr>
          <w:bottom w:val="single" w:sz="6" w:space="1" w:color="auto"/>
        </w:pBdr>
        <w:jc w:val="center"/>
        <w:rPr>
          <w:rFonts w:eastAsia="Times New Roman" w:cs="Times New Roman"/>
          <w:vanish/>
          <w:sz w:val="24"/>
          <w:szCs w:val="24"/>
        </w:rPr>
      </w:pPr>
      <w:r w:rsidRPr="001F288F">
        <w:rPr>
          <w:rFonts w:eastAsia="Times New Roman" w:cs="Times New Roman"/>
          <w:vanish/>
          <w:sz w:val="24"/>
          <w:szCs w:val="24"/>
        </w:rPr>
        <w:t>Top of Form</w:t>
      </w:r>
    </w:p>
    <w:p w:rsidR="00934B04" w:rsidRPr="001F288F" w:rsidRDefault="00934B04" w:rsidP="00934B04">
      <w:pPr>
        <w:pBdr>
          <w:top w:val="single" w:sz="6" w:space="1" w:color="auto"/>
        </w:pBdr>
        <w:jc w:val="center"/>
        <w:rPr>
          <w:rFonts w:eastAsia="Times New Roman" w:cs="Times New Roman"/>
          <w:vanish/>
          <w:sz w:val="24"/>
          <w:szCs w:val="24"/>
        </w:rPr>
      </w:pPr>
      <w:r w:rsidRPr="001F288F">
        <w:rPr>
          <w:rFonts w:eastAsia="Times New Roman" w:cs="Times New Roman"/>
          <w:vanish/>
          <w:sz w:val="24"/>
          <w:szCs w:val="24"/>
        </w:rPr>
        <w:t>Bottom of Form</w:t>
      </w:r>
    </w:p>
    <w:sectPr w:rsidR="00934B04" w:rsidRPr="001F288F" w:rsidSect="002E37D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D3" w:rsidRDefault="00E429D3" w:rsidP="002E37D1">
      <w:r>
        <w:separator/>
      </w:r>
    </w:p>
  </w:endnote>
  <w:endnote w:type="continuationSeparator" w:id="0">
    <w:p w:rsidR="00E429D3" w:rsidRDefault="00E429D3" w:rsidP="002E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D3" w:rsidRDefault="00E429D3" w:rsidP="002E37D1">
      <w:r>
        <w:separator/>
      </w:r>
    </w:p>
  </w:footnote>
  <w:footnote w:type="continuationSeparator" w:id="0">
    <w:p w:rsidR="00E429D3" w:rsidRDefault="00E429D3" w:rsidP="002E3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385642"/>
      <w:docPartObj>
        <w:docPartGallery w:val="Page Numbers (Top of Page)"/>
        <w:docPartUnique/>
      </w:docPartObj>
    </w:sdtPr>
    <w:sdtEndPr>
      <w:rPr>
        <w:noProof/>
      </w:rPr>
    </w:sdtEndPr>
    <w:sdtContent>
      <w:p w:rsidR="00ED464E" w:rsidRDefault="00ED464E" w:rsidP="002E37D1">
        <w:pPr>
          <w:pStyle w:val="Header"/>
          <w:jc w:val="right"/>
        </w:pPr>
        <w:r>
          <w:t xml:space="preserve">Consensus around Rigor </w:t>
        </w:r>
        <w:r>
          <w:fldChar w:fldCharType="begin"/>
        </w:r>
        <w:r>
          <w:instrText xml:space="preserve"> PAGE   \* MERGEFORMAT </w:instrText>
        </w:r>
        <w:r>
          <w:fldChar w:fldCharType="separate"/>
        </w:r>
        <w:r w:rsidR="00B47358">
          <w:rPr>
            <w:noProof/>
          </w:rPr>
          <w:t>6</w:t>
        </w:r>
        <w:r>
          <w:rPr>
            <w:noProof/>
          </w:rPr>
          <w:fldChar w:fldCharType="end"/>
        </w:r>
      </w:p>
    </w:sdtContent>
  </w:sdt>
  <w:p w:rsidR="00ED464E" w:rsidRDefault="00ED464E" w:rsidP="002E37D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4E" w:rsidRDefault="00ED464E">
    <w:pPr>
      <w:pStyle w:val="Header"/>
      <w:jc w:val="right"/>
    </w:pPr>
    <w:r>
      <w:t xml:space="preserve"> RUNNING HEAD: Consensus around Rigor </w:t>
    </w:r>
    <w:sdt>
      <w:sdtPr>
        <w:id w:val="19639983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47358">
          <w:rPr>
            <w:noProof/>
          </w:rPr>
          <w:t>1</w:t>
        </w:r>
        <w:r>
          <w:rPr>
            <w:noProof/>
          </w:rPr>
          <w:fldChar w:fldCharType="end"/>
        </w:r>
      </w:sdtContent>
    </w:sdt>
  </w:p>
  <w:p w:rsidR="00ED464E" w:rsidRDefault="00ED464E" w:rsidP="002E37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2731"/>
    <w:multiLevelType w:val="multilevel"/>
    <w:tmpl w:val="9270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33839"/>
    <w:multiLevelType w:val="multilevel"/>
    <w:tmpl w:val="4560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42216"/>
    <w:multiLevelType w:val="hybridMultilevel"/>
    <w:tmpl w:val="D126378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7EB66517"/>
    <w:multiLevelType w:val="multilevel"/>
    <w:tmpl w:val="E1B8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04"/>
    <w:rsid w:val="001F288F"/>
    <w:rsid w:val="00284199"/>
    <w:rsid w:val="002E37D1"/>
    <w:rsid w:val="00360340"/>
    <w:rsid w:val="00512E00"/>
    <w:rsid w:val="005D2AB0"/>
    <w:rsid w:val="005D7667"/>
    <w:rsid w:val="00623F2B"/>
    <w:rsid w:val="006305EC"/>
    <w:rsid w:val="00642D6D"/>
    <w:rsid w:val="006855D0"/>
    <w:rsid w:val="007314D5"/>
    <w:rsid w:val="00771FCF"/>
    <w:rsid w:val="00874A69"/>
    <w:rsid w:val="00934B04"/>
    <w:rsid w:val="00941181"/>
    <w:rsid w:val="00973481"/>
    <w:rsid w:val="00A036F8"/>
    <w:rsid w:val="00B1125B"/>
    <w:rsid w:val="00B47358"/>
    <w:rsid w:val="00DF1EE8"/>
    <w:rsid w:val="00E429D3"/>
    <w:rsid w:val="00ED464E"/>
    <w:rsid w:val="00F83794"/>
    <w:rsid w:val="00FA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3893"/>
  <w15:docId w15:val="{FAF00784-53DA-4BBA-A6E2-4A63D089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288F"/>
    <w:pPr>
      <w:widowControl w:val="0"/>
      <w:ind w:left="100"/>
    </w:pPr>
    <w:rPr>
      <w:rFonts w:eastAsia="Times New Roman"/>
      <w:szCs w:val="22"/>
    </w:rPr>
  </w:style>
  <w:style w:type="character" w:customStyle="1" w:styleId="BodyTextChar">
    <w:name w:val="Body Text Char"/>
    <w:basedOn w:val="DefaultParagraphFont"/>
    <w:link w:val="BodyText"/>
    <w:uiPriority w:val="1"/>
    <w:rsid w:val="001F288F"/>
    <w:rPr>
      <w:rFonts w:eastAsia="Times New Roman"/>
      <w:szCs w:val="22"/>
    </w:rPr>
  </w:style>
  <w:style w:type="table" w:styleId="TableGrid">
    <w:name w:val="Table Grid"/>
    <w:basedOn w:val="TableNormal"/>
    <w:uiPriority w:val="59"/>
    <w:rsid w:val="0036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7D1"/>
    <w:pPr>
      <w:tabs>
        <w:tab w:val="center" w:pos="4680"/>
        <w:tab w:val="right" w:pos="9360"/>
      </w:tabs>
    </w:pPr>
  </w:style>
  <w:style w:type="character" w:customStyle="1" w:styleId="HeaderChar">
    <w:name w:val="Header Char"/>
    <w:basedOn w:val="DefaultParagraphFont"/>
    <w:link w:val="Header"/>
    <w:uiPriority w:val="99"/>
    <w:rsid w:val="002E37D1"/>
  </w:style>
  <w:style w:type="paragraph" w:styleId="Footer">
    <w:name w:val="footer"/>
    <w:basedOn w:val="Normal"/>
    <w:link w:val="FooterChar"/>
    <w:uiPriority w:val="99"/>
    <w:unhideWhenUsed/>
    <w:rsid w:val="002E37D1"/>
    <w:pPr>
      <w:tabs>
        <w:tab w:val="center" w:pos="4680"/>
        <w:tab w:val="right" w:pos="9360"/>
      </w:tabs>
    </w:pPr>
  </w:style>
  <w:style w:type="character" w:customStyle="1" w:styleId="FooterChar">
    <w:name w:val="Footer Char"/>
    <w:basedOn w:val="DefaultParagraphFont"/>
    <w:link w:val="Footer"/>
    <w:uiPriority w:val="99"/>
    <w:rsid w:val="002E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957039">
      <w:bodyDiv w:val="1"/>
      <w:marLeft w:val="0"/>
      <w:marRight w:val="0"/>
      <w:marTop w:val="0"/>
      <w:marBottom w:val="0"/>
      <w:divBdr>
        <w:top w:val="none" w:sz="0" w:space="0" w:color="auto"/>
        <w:left w:val="none" w:sz="0" w:space="0" w:color="auto"/>
        <w:bottom w:val="none" w:sz="0" w:space="0" w:color="auto"/>
        <w:right w:val="none" w:sz="0" w:space="0" w:color="auto"/>
      </w:divBdr>
      <w:divsChild>
        <w:div w:id="673067841">
          <w:marLeft w:val="0"/>
          <w:marRight w:val="0"/>
          <w:marTop w:val="0"/>
          <w:marBottom w:val="0"/>
          <w:divBdr>
            <w:top w:val="none" w:sz="0" w:space="0" w:color="auto"/>
            <w:left w:val="none" w:sz="0" w:space="0" w:color="auto"/>
            <w:bottom w:val="none" w:sz="0" w:space="0" w:color="auto"/>
            <w:right w:val="none" w:sz="0" w:space="0" w:color="auto"/>
          </w:divBdr>
          <w:divsChild>
            <w:div w:id="525216248">
              <w:marLeft w:val="0"/>
              <w:marRight w:val="0"/>
              <w:marTop w:val="0"/>
              <w:marBottom w:val="0"/>
              <w:divBdr>
                <w:top w:val="none" w:sz="0" w:space="0" w:color="auto"/>
                <w:left w:val="none" w:sz="0" w:space="0" w:color="auto"/>
                <w:bottom w:val="none" w:sz="0" w:space="0" w:color="auto"/>
                <w:right w:val="none" w:sz="0" w:space="0" w:color="auto"/>
              </w:divBdr>
              <w:divsChild>
                <w:div w:id="2020503400">
                  <w:marLeft w:val="0"/>
                  <w:marRight w:val="0"/>
                  <w:marTop w:val="0"/>
                  <w:marBottom w:val="0"/>
                  <w:divBdr>
                    <w:top w:val="none" w:sz="0" w:space="0" w:color="auto"/>
                    <w:left w:val="none" w:sz="0" w:space="0" w:color="auto"/>
                    <w:bottom w:val="none" w:sz="0" w:space="0" w:color="auto"/>
                    <w:right w:val="none" w:sz="0" w:space="0" w:color="auto"/>
                  </w:divBdr>
                  <w:divsChild>
                    <w:div w:id="1706833059">
                      <w:marLeft w:val="0"/>
                      <w:marRight w:val="0"/>
                      <w:marTop w:val="0"/>
                      <w:marBottom w:val="0"/>
                      <w:divBdr>
                        <w:top w:val="none" w:sz="0" w:space="0" w:color="auto"/>
                        <w:left w:val="none" w:sz="0" w:space="0" w:color="auto"/>
                        <w:bottom w:val="none" w:sz="0" w:space="0" w:color="auto"/>
                        <w:right w:val="none" w:sz="0" w:space="0" w:color="auto"/>
                      </w:divBdr>
                      <w:divsChild>
                        <w:div w:id="1533953835">
                          <w:marLeft w:val="0"/>
                          <w:marRight w:val="0"/>
                          <w:marTop w:val="0"/>
                          <w:marBottom w:val="0"/>
                          <w:divBdr>
                            <w:top w:val="none" w:sz="0" w:space="0" w:color="auto"/>
                            <w:left w:val="none" w:sz="0" w:space="0" w:color="auto"/>
                            <w:bottom w:val="none" w:sz="0" w:space="0" w:color="auto"/>
                            <w:right w:val="none" w:sz="0" w:space="0" w:color="auto"/>
                          </w:divBdr>
                          <w:divsChild>
                            <w:div w:id="941883911">
                              <w:marLeft w:val="0"/>
                              <w:marRight w:val="0"/>
                              <w:marTop w:val="0"/>
                              <w:marBottom w:val="0"/>
                              <w:divBdr>
                                <w:top w:val="none" w:sz="0" w:space="0" w:color="auto"/>
                                <w:left w:val="none" w:sz="0" w:space="0" w:color="auto"/>
                                <w:bottom w:val="none" w:sz="0" w:space="0" w:color="auto"/>
                                <w:right w:val="none" w:sz="0" w:space="0" w:color="auto"/>
                              </w:divBdr>
                              <w:divsChild>
                                <w:div w:id="1510438588">
                                  <w:marLeft w:val="0"/>
                                  <w:marRight w:val="0"/>
                                  <w:marTop w:val="0"/>
                                  <w:marBottom w:val="0"/>
                                  <w:divBdr>
                                    <w:top w:val="none" w:sz="0" w:space="0" w:color="auto"/>
                                    <w:left w:val="none" w:sz="0" w:space="0" w:color="auto"/>
                                    <w:bottom w:val="none" w:sz="0" w:space="0" w:color="auto"/>
                                    <w:right w:val="none" w:sz="0" w:space="0" w:color="auto"/>
                                  </w:divBdr>
                                  <w:divsChild>
                                    <w:div w:id="236476648">
                                      <w:marLeft w:val="0"/>
                                      <w:marRight w:val="0"/>
                                      <w:marTop w:val="0"/>
                                      <w:marBottom w:val="0"/>
                                      <w:divBdr>
                                        <w:top w:val="none" w:sz="0" w:space="0" w:color="auto"/>
                                        <w:left w:val="none" w:sz="0" w:space="0" w:color="auto"/>
                                        <w:bottom w:val="none" w:sz="0" w:space="0" w:color="auto"/>
                                        <w:right w:val="none" w:sz="0" w:space="0" w:color="auto"/>
                                      </w:divBdr>
                                      <w:divsChild>
                                        <w:div w:id="408776609">
                                          <w:marLeft w:val="0"/>
                                          <w:marRight w:val="0"/>
                                          <w:marTop w:val="0"/>
                                          <w:marBottom w:val="0"/>
                                          <w:divBdr>
                                            <w:top w:val="none" w:sz="0" w:space="0" w:color="auto"/>
                                            <w:left w:val="none" w:sz="0" w:space="0" w:color="auto"/>
                                            <w:bottom w:val="none" w:sz="0" w:space="0" w:color="auto"/>
                                            <w:right w:val="none" w:sz="0" w:space="0" w:color="auto"/>
                                          </w:divBdr>
                                          <w:divsChild>
                                            <w:div w:id="535585496">
                                              <w:marLeft w:val="0"/>
                                              <w:marRight w:val="0"/>
                                              <w:marTop w:val="0"/>
                                              <w:marBottom w:val="0"/>
                                              <w:divBdr>
                                                <w:top w:val="none" w:sz="0" w:space="0" w:color="auto"/>
                                                <w:left w:val="none" w:sz="0" w:space="0" w:color="auto"/>
                                                <w:bottom w:val="none" w:sz="0" w:space="0" w:color="auto"/>
                                                <w:right w:val="none" w:sz="0" w:space="0" w:color="auto"/>
                                              </w:divBdr>
                                              <w:divsChild>
                                                <w:div w:id="1282112505">
                                                  <w:marLeft w:val="0"/>
                                                  <w:marRight w:val="0"/>
                                                  <w:marTop w:val="0"/>
                                                  <w:marBottom w:val="0"/>
                                                  <w:divBdr>
                                                    <w:top w:val="none" w:sz="0" w:space="0" w:color="auto"/>
                                                    <w:left w:val="none" w:sz="0" w:space="0" w:color="auto"/>
                                                    <w:bottom w:val="none" w:sz="0" w:space="0" w:color="auto"/>
                                                    <w:right w:val="none" w:sz="0" w:space="0" w:color="auto"/>
                                                  </w:divBdr>
                                                  <w:divsChild>
                                                    <w:div w:id="13865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9662292">
          <w:marLeft w:val="0"/>
          <w:marRight w:val="0"/>
          <w:marTop w:val="0"/>
          <w:marBottom w:val="0"/>
          <w:divBdr>
            <w:top w:val="none" w:sz="0" w:space="0" w:color="auto"/>
            <w:left w:val="none" w:sz="0" w:space="0" w:color="auto"/>
            <w:bottom w:val="none" w:sz="0" w:space="0" w:color="auto"/>
            <w:right w:val="none" w:sz="0" w:space="0" w:color="auto"/>
          </w:divBdr>
          <w:divsChild>
            <w:div w:id="1766346274">
              <w:marLeft w:val="0"/>
              <w:marRight w:val="0"/>
              <w:marTop w:val="0"/>
              <w:marBottom w:val="0"/>
              <w:divBdr>
                <w:top w:val="none" w:sz="0" w:space="0" w:color="auto"/>
                <w:left w:val="none" w:sz="0" w:space="0" w:color="auto"/>
                <w:bottom w:val="none" w:sz="0" w:space="0" w:color="auto"/>
                <w:right w:val="none" w:sz="0" w:space="0" w:color="auto"/>
              </w:divBdr>
            </w:div>
          </w:divsChild>
        </w:div>
        <w:div w:id="288123003">
          <w:marLeft w:val="0"/>
          <w:marRight w:val="0"/>
          <w:marTop w:val="0"/>
          <w:marBottom w:val="0"/>
          <w:divBdr>
            <w:top w:val="none" w:sz="0" w:space="0" w:color="auto"/>
            <w:left w:val="none" w:sz="0" w:space="0" w:color="auto"/>
            <w:bottom w:val="none" w:sz="0" w:space="0" w:color="auto"/>
            <w:right w:val="none" w:sz="0" w:space="0" w:color="auto"/>
          </w:divBdr>
          <w:divsChild>
            <w:div w:id="1501581191">
              <w:marLeft w:val="0"/>
              <w:marRight w:val="0"/>
              <w:marTop w:val="0"/>
              <w:marBottom w:val="0"/>
              <w:divBdr>
                <w:top w:val="none" w:sz="0" w:space="0" w:color="auto"/>
                <w:left w:val="none" w:sz="0" w:space="0" w:color="auto"/>
                <w:bottom w:val="none" w:sz="0" w:space="0" w:color="auto"/>
                <w:right w:val="none" w:sz="0" w:space="0" w:color="auto"/>
              </w:divBdr>
              <w:divsChild>
                <w:div w:id="1424840579">
                  <w:marLeft w:val="0"/>
                  <w:marRight w:val="0"/>
                  <w:marTop w:val="0"/>
                  <w:marBottom w:val="0"/>
                  <w:divBdr>
                    <w:top w:val="none" w:sz="0" w:space="0" w:color="auto"/>
                    <w:left w:val="none" w:sz="0" w:space="0" w:color="auto"/>
                    <w:bottom w:val="none" w:sz="0" w:space="0" w:color="auto"/>
                    <w:right w:val="none" w:sz="0" w:space="0" w:color="auto"/>
                  </w:divBdr>
                  <w:divsChild>
                    <w:div w:id="728765445">
                      <w:marLeft w:val="0"/>
                      <w:marRight w:val="0"/>
                      <w:marTop w:val="0"/>
                      <w:marBottom w:val="0"/>
                      <w:divBdr>
                        <w:top w:val="none" w:sz="0" w:space="0" w:color="auto"/>
                        <w:left w:val="none" w:sz="0" w:space="0" w:color="auto"/>
                        <w:bottom w:val="none" w:sz="0" w:space="0" w:color="auto"/>
                        <w:right w:val="none" w:sz="0" w:space="0" w:color="auto"/>
                      </w:divBdr>
                      <w:divsChild>
                        <w:div w:id="1974939979">
                          <w:marLeft w:val="0"/>
                          <w:marRight w:val="0"/>
                          <w:marTop w:val="0"/>
                          <w:marBottom w:val="0"/>
                          <w:divBdr>
                            <w:top w:val="none" w:sz="0" w:space="0" w:color="auto"/>
                            <w:left w:val="none" w:sz="0" w:space="0" w:color="auto"/>
                            <w:bottom w:val="none" w:sz="0" w:space="0" w:color="auto"/>
                            <w:right w:val="none" w:sz="0" w:space="0" w:color="auto"/>
                          </w:divBdr>
                        </w:div>
                      </w:divsChild>
                    </w:div>
                    <w:div w:id="15583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8C435-40C7-4404-81CF-E1A8D794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1201</Words>
  <Characters>6295</Characters>
  <Application>Microsoft Office Word</Application>
  <DocSecurity>0</DocSecurity>
  <Lines>112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Nicholas Rhew</cp:lastModifiedBy>
  <cp:revision>5</cp:revision>
  <cp:lastPrinted>2018-01-18T19:03:00Z</cp:lastPrinted>
  <dcterms:created xsi:type="dcterms:W3CDTF">2018-02-12T21:20:00Z</dcterms:created>
  <dcterms:modified xsi:type="dcterms:W3CDTF">2018-02-23T19:32:00Z</dcterms:modified>
</cp:coreProperties>
</file>