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C9" w:rsidRDefault="006563E6" w:rsidP="00245FC9">
      <w:pPr>
        <w:spacing w:after="0" w:line="330" w:lineRule="atLeast"/>
        <w:rPr>
          <w:rFonts w:ascii="Times New Roman" w:hAnsi="Times New Roman" w:cs="Times New Roman"/>
          <w:sz w:val="24"/>
          <w:szCs w:val="24"/>
        </w:rPr>
      </w:pPr>
      <w:r w:rsidRPr="00926B32">
        <w:rPr>
          <w:rFonts w:ascii="Times New Roman" w:hAnsi="Times New Roman" w:cs="Times New Roman"/>
          <w:b/>
          <w:sz w:val="24"/>
          <w:szCs w:val="24"/>
        </w:rPr>
        <w:t>Title:</w:t>
      </w:r>
      <w:r>
        <w:rPr>
          <w:rFonts w:ascii="Times New Roman" w:hAnsi="Times New Roman" w:cs="Times New Roman"/>
          <w:sz w:val="24"/>
          <w:szCs w:val="24"/>
        </w:rPr>
        <w:t xml:space="preserve">  </w:t>
      </w:r>
      <w:r>
        <w:rPr>
          <w:rFonts w:ascii="Times New Roman" w:hAnsi="Times New Roman" w:cs="Times New Roman"/>
          <w:sz w:val="24"/>
          <w:szCs w:val="24"/>
        </w:rPr>
        <w:br/>
      </w:r>
      <w:r w:rsidR="00245FC9">
        <w:rPr>
          <w:rFonts w:ascii="Times New Roman" w:hAnsi="Times New Roman" w:cs="Times New Roman"/>
          <w:sz w:val="24"/>
          <w:szCs w:val="24"/>
        </w:rPr>
        <w:t>Reflective Reinvention:  Let’s Turn Back the Clock to our First Few Years in the Classroom</w:t>
      </w: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r>
        <w:rPr>
          <w:rFonts w:ascii="Times New Roman" w:hAnsi="Times New Roman" w:cs="Times New Roman"/>
          <w:sz w:val="24"/>
          <w:szCs w:val="24"/>
        </w:rPr>
        <w:t>This round</w:t>
      </w:r>
      <w:r w:rsidR="00845D48">
        <w:rPr>
          <w:rFonts w:ascii="Times New Roman" w:hAnsi="Times New Roman" w:cs="Times New Roman"/>
          <w:sz w:val="24"/>
          <w:szCs w:val="24"/>
        </w:rPr>
        <w:t>table discussion will begin with the facilitator sharing experiences with</w:t>
      </w:r>
      <w:r>
        <w:rPr>
          <w:rFonts w:ascii="Times New Roman" w:hAnsi="Times New Roman" w:cs="Times New Roman"/>
          <w:sz w:val="24"/>
          <w:szCs w:val="24"/>
        </w:rPr>
        <w:t xml:space="preserve"> meaningful mentors, significant </w:t>
      </w:r>
      <w:r w:rsidR="00845D48">
        <w:rPr>
          <w:rFonts w:ascii="Times New Roman" w:hAnsi="Times New Roman" w:cs="Times New Roman"/>
          <w:sz w:val="24"/>
          <w:szCs w:val="24"/>
        </w:rPr>
        <w:t xml:space="preserve">student </w:t>
      </w:r>
      <w:r>
        <w:rPr>
          <w:rFonts w:ascii="Times New Roman" w:hAnsi="Times New Roman" w:cs="Times New Roman"/>
          <w:sz w:val="24"/>
          <w:szCs w:val="24"/>
        </w:rPr>
        <w:t xml:space="preserve">experiences, and other </w:t>
      </w:r>
      <w:r w:rsidR="008416BC">
        <w:rPr>
          <w:rFonts w:ascii="Times New Roman" w:hAnsi="Times New Roman" w:cs="Times New Roman"/>
          <w:sz w:val="24"/>
          <w:szCs w:val="24"/>
        </w:rPr>
        <w:t>early teaching moments in order to bring forward and reignite the initial passion behind some of the OBTC’ers</w:t>
      </w:r>
      <w:r w:rsidR="00845D48">
        <w:rPr>
          <w:rFonts w:ascii="Times New Roman" w:hAnsi="Times New Roman" w:cs="Times New Roman"/>
          <w:sz w:val="24"/>
          <w:szCs w:val="24"/>
        </w:rPr>
        <w:t xml:space="preserve"> and their profession</w:t>
      </w:r>
      <w:r w:rsidR="008416BC">
        <w:rPr>
          <w:rFonts w:ascii="Times New Roman" w:hAnsi="Times New Roman" w:cs="Times New Roman"/>
          <w:sz w:val="24"/>
          <w:szCs w:val="24"/>
        </w:rPr>
        <w:t xml:space="preserve">.  The facilitator will begin by sharing her experiences as a doctoral student teaching a course outside her area of interest, and how this opportunity led to an area of self-discovery as well as </w:t>
      </w:r>
      <w:r w:rsidR="00E908A0">
        <w:rPr>
          <w:rFonts w:ascii="Times New Roman" w:hAnsi="Times New Roman" w:cs="Times New Roman"/>
          <w:sz w:val="24"/>
          <w:szCs w:val="24"/>
        </w:rPr>
        <w:t>ways in whi</w:t>
      </w:r>
      <w:r w:rsidR="00845D48">
        <w:rPr>
          <w:rFonts w:ascii="Times New Roman" w:hAnsi="Times New Roman" w:cs="Times New Roman"/>
          <w:sz w:val="24"/>
          <w:szCs w:val="24"/>
        </w:rPr>
        <w:t>ch class cohesiveness developed and flourished.</w:t>
      </w:r>
      <w:r w:rsidR="00E908A0">
        <w:rPr>
          <w:rFonts w:ascii="Times New Roman" w:hAnsi="Times New Roman" w:cs="Times New Roman"/>
          <w:sz w:val="24"/>
          <w:szCs w:val="24"/>
        </w:rPr>
        <w:t xml:space="preserve">  Participants will be asked to share similar experiences, with one goal of the session being to specifically identify “lost moments” or “forgotten techniques” that if </w:t>
      </w:r>
      <w:r w:rsidR="00845D48">
        <w:rPr>
          <w:rFonts w:ascii="Times New Roman" w:hAnsi="Times New Roman" w:cs="Times New Roman"/>
          <w:sz w:val="24"/>
          <w:szCs w:val="24"/>
        </w:rPr>
        <w:t>reintroduced</w:t>
      </w:r>
      <w:r w:rsidR="00E908A0">
        <w:rPr>
          <w:rFonts w:ascii="Times New Roman" w:hAnsi="Times New Roman" w:cs="Times New Roman"/>
          <w:sz w:val="24"/>
          <w:szCs w:val="24"/>
        </w:rPr>
        <w:t>, may enhance the classroom experience for the students (and the instructor as well!).  Additional outcomes may include the sharing of knowledge between participants, so as we can learn from each other in regards to what meaningful exercises/techniques/projects were done in their early days of teaching, which may have been long forgotten and could be beneficial to today’s students.</w:t>
      </w:r>
    </w:p>
    <w:p w:rsidR="00E908A0" w:rsidRDefault="00E908A0" w:rsidP="00245FC9">
      <w:pPr>
        <w:spacing w:after="0" w:line="330" w:lineRule="atLeast"/>
        <w:rPr>
          <w:rFonts w:ascii="Times New Roman" w:hAnsi="Times New Roman" w:cs="Times New Roman"/>
          <w:sz w:val="24"/>
          <w:szCs w:val="24"/>
        </w:rPr>
      </w:pPr>
    </w:p>
    <w:p w:rsidR="00E908A0" w:rsidRDefault="00926B32" w:rsidP="00245FC9">
      <w:pPr>
        <w:spacing w:after="0" w:line="330" w:lineRule="atLeast"/>
        <w:rPr>
          <w:rFonts w:ascii="Times New Roman" w:hAnsi="Times New Roman" w:cs="Times New Roman"/>
          <w:sz w:val="24"/>
          <w:szCs w:val="24"/>
        </w:rPr>
      </w:pPr>
      <w:r w:rsidRPr="00926B32">
        <w:rPr>
          <w:rFonts w:ascii="Times New Roman" w:hAnsi="Times New Roman" w:cs="Times New Roman"/>
          <w:b/>
          <w:sz w:val="24"/>
          <w:szCs w:val="24"/>
        </w:rPr>
        <w:t>Key</w:t>
      </w:r>
      <w:r w:rsidR="00E908A0" w:rsidRPr="00926B32">
        <w:rPr>
          <w:rFonts w:ascii="Times New Roman" w:hAnsi="Times New Roman" w:cs="Times New Roman"/>
          <w:b/>
          <w:sz w:val="24"/>
          <w:szCs w:val="24"/>
        </w:rPr>
        <w:t>words:</w:t>
      </w:r>
      <w:r w:rsidR="00E908A0">
        <w:rPr>
          <w:rFonts w:ascii="Times New Roman" w:hAnsi="Times New Roman" w:cs="Times New Roman"/>
          <w:sz w:val="24"/>
          <w:szCs w:val="24"/>
        </w:rPr>
        <w:t xml:space="preserve">  reflection, teaching techniques, meaningful experiences</w:t>
      </w: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bookmarkStart w:id="0" w:name="_GoBack"/>
      <w:bookmarkEnd w:id="0"/>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245FC9" w:rsidRDefault="00245FC9" w:rsidP="00245FC9">
      <w:pPr>
        <w:spacing w:after="0" w:line="330" w:lineRule="atLeast"/>
        <w:rPr>
          <w:rFonts w:ascii="Times New Roman" w:hAnsi="Times New Roman" w:cs="Times New Roman"/>
          <w:sz w:val="24"/>
          <w:szCs w:val="24"/>
        </w:rPr>
      </w:pPr>
    </w:p>
    <w:p w:rsidR="0002126A" w:rsidRPr="00F413C5" w:rsidRDefault="0002126A" w:rsidP="0002126A">
      <w:pPr>
        <w:numPr>
          <w:ilvl w:val="0"/>
          <w:numId w:val="1"/>
        </w:numPr>
        <w:spacing w:after="0" w:line="330" w:lineRule="atLeast"/>
        <w:ind w:left="-450"/>
        <w:rPr>
          <w:rFonts w:ascii="source_sans_proregular" w:eastAsia="Times New Roman" w:hAnsi="source_sans_proregular" w:cs="Arial"/>
          <w:color w:val="222222"/>
          <w:sz w:val="21"/>
          <w:szCs w:val="21"/>
        </w:rPr>
      </w:pPr>
      <w:r w:rsidRPr="00F413C5">
        <w:rPr>
          <w:rFonts w:ascii="source_sans_proregular" w:eastAsia="Times New Roman" w:hAnsi="source_sans_proregular" w:cs="Arial"/>
          <w:b/>
          <w:bCs/>
          <w:color w:val="222222"/>
          <w:sz w:val="21"/>
          <w:szCs w:val="21"/>
        </w:rPr>
        <w:t>Introduction</w:t>
      </w:r>
      <w:r w:rsidRPr="00F413C5">
        <w:rPr>
          <w:rFonts w:ascii="source_sans_proregular" w:eastAsia="Times New Roman" w:hAnsi="source_sans_proregular" w:cs="Arial"/>
          <w:color w:val="222222"/>
          <w:sz w:val="21"/>
          <w:szCs w:val="21"/>
        </w:rPr>
        <w:t>. Provide a brief introduction that establishes the purpose and focus of the discussion. Describe what the intended outcome of the session will be and who the target audience is.</w:t>
      </w:r>
      <w:r w:rsidR="006563E6">
        <w:rPr>
          <w:rFonts w:ascii="source_sans_proregular" w:eastAsia="Times New Roman" w:hAnsi="source_sans_proregular" w:cs="Arial"/>
          <w:color w:val="222222"/>
          <w:sz w:val="21"/>
          <w:szCs w:val="21"/>
        </w:rPr>
        <w:br/>
      </w:r>
    </w:p>
    <w:p w:rsidR="00321A9C" w:rsidRPr="0002126A" w:rsidRDefault="006563E6" w:rsidP="006563E6">
      <w:pPr>
        <w:spacing w:after="0" w:line="330" w:lineRule="atLeast"/>
        <w:ind w:left="-450"/>
        <w:rPr>
          <w:rFonts w:ascii="Times New Roman" w:hAnsi="Times New Roman" w:cs="Times New Roman"/>
          <w:sz w:val="24"/>
          <w:szCs w:val="24"/>
        </w:rPr>
      </w:pPr>
      <w:r>
        <w:rPr>
          <w:rFonts w:ascii="source_sans_proregular" w:eastAsia="Times New Roman" w:hAnsi="source_sans_proregular" w:cs="Arial"/>
          <w:color w:val="222222"/>
          <w:sz w:val="21"/>
          <w:szCs w:val="21"/>
        </w:rPr>
        <w:t xml:space="preserve">     I</w:t>
      </w:r>
      <w:r w:rsidR="00245FC9" w:rsidRPr="00245FC9">
        <w:rPr>
          <w:rFonts w:ascii="Times New Roman" w:hAnsi="Times New Roman" w:cs="Times New Roman"/>
          <w:sz w:val="24"/>
          <w:szCs w:val="24"/>
        </w:rPr>
        <w:t>t seems fitting that in my 19</w:t>
      </w:r>
      <w:r w:rsidR="00245FC9" w:rsidRPr="00245FC9">
        <w:rPr>
          <w:rFonts w:ascii="Times New Roman" w:hAnsi="Times New Roman" w:cs="Times New Roman"/>
          <w:sz w:val="24"/>
          <w:szCs w:val="24"/>
          <w:vertAlign w:val="superscript"/>
        </w:rPr>
        <w:t>th</w:t>
      </w:r>
      <w:r w:rsidR="00245FC9" w:rsidRPr="00245FC9">
        <w:rPr>
          <w:rFonts w:ascii="Times New Roman" w:hAnsi="Times New Roman" w:cs="Times New Roman"/>
          <w:sz w:val="24"/>
          <w:szCs w:val="24"/>
        </w:rPr>
        <w:t xml:space="preserve"> year of teaching, I am reflecting upon many of those experiences and master teachers</w:t>
      </w:r>
      <w:r w:rsidR="00245FC9">
        <w:rPr>
          <w:rFonts w:ascii="Times New Roman" w:hAnsi="Times New Roman" w:cs="Times New Roman"/>
          <w:sz w:val="24"/>
          <w:szCs w:val="24"/>
        </w:rPr>
        <w:t xml:space="preserve"> and mentors who had such an influence on me</w:t>
      </w:r>
      <w:r w:rsidR="00245FC9" w:rsidRPr="00245FC9">
        <w:rPr>
          <w:rFonts w:ascii="Times New Roman" w:hAnsi="Times New Roman" w:cs="Times New Roman"/>
          <w:sz w:val="24"/>
          <w:szCs w:val="24"/>
        </w:rPr>
        <w:t xml:space="preserve"> in my first fumbling attempts to teach </w:t>
      </w:r>
      <w:r w:rsidR="00245FC9">
        <w:rPr>
          <w:rFonts w:ascii="Times New Roman" w:hAnsi="Times New Roman" w:cs="Times New Roman"/>
          <w:sz w:val="24"/>
          <w:szCs w:val="24"/>
        </w:rPr>
        <w:t>(</w:t>
      </w:r>
      <w:r w:rsidR="00245FC9" w:rsidRPr="00245FC9">
        <w:rPr>
          <w:rFonts w:ascii="Times New Roman" w:hAnsi="Times New Roman" w:cs="Times New Roman"/>
          <w:sz w:val="24"/>
          <w:szCs w:val="24"/>
        </w:rPr>
        <w:t>as a new doctoral student</w:t>
      </w:r>
      <w:r w:rsidR="00245FC9">
        <w:rPr>
          <w:rFonts w:ascii="Times New Roman" w:hAnsi="Times New Roman" w:cs="Times New Roman"/>
          <w:sz w:val="24"/>
          <w:szCs w:val="24"/>
        </w:rPr>
        <w:t>)</w:t>
      </w:r>
      <w:r w:rsidR="00245FC9" w:rsidRPr="00245FC9">
        <w:rPr>
          <w:rFonts w:ascii="Times New Roman" w:hAnsi="Times New Roman" w:cs="Times New Roman"/>
          <w:sz w:val="24"/>
          <w:szCs w:val="24"/>
        </w:rPr>
        <w:t>.</w:t>
      </w:r>
      <w:r w:rsidR="00245FC9">
        <w:rPr>
          <w:rFonts w:ascii="Times New Roman" w:hAnsi="Times New Roman" w:cs="Times New Roman"/>
          <w:sz w:val="24"/>
          <w:szCs w:val="24"/>
        </w:rPr>
        <w:t xml:space="preserve">  Reflective reinvention, then, if selfishly applied, can be thought of as how we might look back at those things that we were passionate about at the beginning of our career, and how these things may have been left behind in the race to keep up with the technological advances that we have been expected to incorporate into the classroom as well as all of those other demands upon our time.  So let’s think back to our beginnings…….</w:t>
      </w:r>
      <w:r>
        <w:rPr>
          <w:rFonts w:ascii="Times New Roman" w:hAnsi="Times New Roman" w:cs="Times New Roman"/>
          <w:sz w:val="24"/>
          <w:szCs w:val="24"/>
        </w:rPr>
        <w:br/>
        <w:t xml:space="preserve">     </w:t>
      </w:r>
      <w:r w:rsidR="00245FC9">
        <w:rPr>
          <w:rFonts w:ascii="Times New Roman" w:hAnsi="Times New Roman" w:cs="Times New Roman"/>
          <w:sz w:val="24"/>
          <w:szCs w:val="24"/>
        </w:rPr>
        <w:t>As a doctoral student, my first teaching assignment was outside of my “area”; I was to teach the Strategy Capstone Course (me being a micro-gal who was very excited about her OB seminar but not so excited about OT).  However, as we all remember, when one is a doctoral student, one goes where their faculty advisor leads…</w:t>
      </w:r>
      <w:r>
        <w:rPr>
          <w:rFonts w:ascii="Times New Roman" w:hAnsi="Times New Roman" w:cs="Times New Roman"/>
          <w:sz w:val="24"/>
          <w:szCs w:val="24"/>
        </w:rPr>
        <w:br/>
        <w:t xml:space="preserve">     </w:t>
      </w:r>
      <w:r w:rsidR="0002126A">
        <w:rPr>
          <w:rFonts w:ascii="Times New Roman" w:hAnsi="Times New Roman" w:cs="Times New Roman"/>
          <w:sz w:val="24"/>
          <w:szCs w:val="24"/>
        </w:rPr>
        <w:t xml:space="preserve">The resulting semester produced one of the most cohesive and collaborative group of students that I’ve ever had, and one of the underlying reasons for this was that I learned alongside the students, and they were in full knowledge of this.  This happened in several other classes in the past </w:t>
      </w:r>
      <w:r w:rsidR="00C8304D">
        <w:rPr>
          <w:rFonts w:ascii="Times New Roman" w:hAnsi="Times New Roman" w:cs="Times New Roman"/>
          <w:sz w:val="24"/>
          <w:szCs w:val="24"/>
        </w:rPr>
        <w:t xml:space="preserve">few years; the bonding mechanism seems to be the idea that I was not the sage on a stage, imparting knowledge, but rather was a living, breathing, and significantly older “student” in one sense.  In other words, I too, was embarking on a learning journey.  </w:t>
      </w:r>
      <w:r>
        <w:rPr>
          <w:rFonts w:ascii="Times New Roman" w:hAnsi="Times New Roman" w:cs="Times New Roman"/>
          <w:sz w:val="24"/>
          <w:szCs w:val="24"/>
        </w:rPr>
        <w:br/>
        <w:t xml:space="preserve">     </w:t>
      </w:r>
      <w:r w:rsidR="00321A9C">
        <w:rPr>
          <w:rFonts w:ascii="Times New Roman" w:hAnsi="Times New Roman" w:cs="Times New Roman"/>
          <w:sz w:val="24"/>
          <w:szCs w:val="24"/>
        </w:rPr>
        <w:t>This session is designed to engage participants by encouraging the sharing of best practices, especially those which have resulted in classroom experiences which have stayed in the memory of participants as meaningful and relevant occurrences which led to evocative outcomes.  Audience members will have the opportunity to dissect their experiences, and to share how others could implement similar methods in either their undergraduate or graduate classes.</w:t>
      </w:r>
      <w:r>
        <w:rPr>
          <w:rFonts w:ascii="Times New Roman" w:hAnsi="Times New Roman" w:cs="Times New Roman"/>
          <w:sz w:val="24"/>
          <w:szCs w:val="24"/>
        </w:rPr>
        <w:br/>
      </w:r>
    </w:p>
    <w:p w:rsidR="00C8304D" w:rsidRPr="00B47207" w:rsidRDefault="00C8304D" w:rsidP="00C8304D">
      <w:pPr>
        <w:numPr>
          <w:ilvl w:val="0"/>
          <w:numId w:val="1"/>
        </w:numPr>
        <w:spacing w:after="0" w:line="330" w:lineRule="atLeast"/>
        <w:ind w:left="-450"/>
        <w:rPr>
          <w:rFonts w:ascii="source_sans_proregular" w:eastAsia="Times New Roman" w:hAnsi="source_sans_proregular" w:cs="Arial"/>
          <w:color w:val="222222"/>
          <w:sz w:val="21"/>
          <w:szCs w:val="21"/>
        </w:rPr>
      </w:pPr>
      <w:r w:rsidRPr="00F413C5">
        <w:rPr>
          <w:rFonts w:ascii="source_sans_proregular" w:eastAsia="Times New Roman" w:hAnsi="source_sans_proregular" w:cs="Arial"/>
          <w:b/>
          <w:bCs/>
          <w:color w:val="222222"/>
          <w:sz w:val="21"/>
          <w:szCs w:val="21"/>
        </w:rPr>
        <w:t>Theoretical Foundation/Teaching Implications</w:t>
      </w:r>
      <w:r w:rsidR="00B47207">
        <w:rPr>
          <w:rFonts w:ascii="Times New Roman" w:hAnsi="Times New Roman"/>
          <w:sz w:val="24"/>
          <w:szCs w:val="24"/>
        </w:rPr>
        <w:t xml:space="preserve">       </w:t>
      </w:r>
      <w:r w:rsidR="001E2A81">
        <w:rPr>
          <w:rFonts w:ascii="Times New Roman" w:hAnsi="Times New Roman"/>
          <w:sz w:val="24"/>
          <w:szCs w:val="24"/>
        </w:rPr>
        <w:br/>
      </w:r>
      <w:r w:rsidR="001E2A81">
        <w:rPr>
          <w:rFonts w:ascii="Times New Roman" w:hAnsi="Times New Roman"/>
          <w:sz w:val="24"/>
          <w:szCs w:val="24"/>
        </w:rPr>
        <w:br/>
        <w:t xml:space="preserve">     </w:t>
      </w:r>
      <w:r w:rsidR="00976D1B">
        <w:rPr>
          <w:rFonts w:ascii="Times New Roman" w:hAnsi="Times New Roman"/>
          <w:sz w:val="24"/>
          <w:szCs w:val="24"/>
        </w:rPr>
        <w:t xml:space="preserve">As management educators we often focus on our unique area of expertise and possess great knowledge within our own respective disciplines, and while this approach often allows us to transfer knowledge to our students, it sometimes can leave them without the practical experience necessary to transfer that knowledge to real world experience.  </w:t>
      </w:r>
      <w:r w:rsidR="00B33F6F">
        <w:rPr>
          <w:rFonts w:ascii="Times New Roman" w:hAnsi="Times New Roman"/>
          <w:sz w:val="24"/>
          <w:szCs w:val="24"/>
        </w:rPr>
        <w:t xml:space="preserve">Additionally, </w:t>
      </w:r>
      <w:r w:rsidR="00624D45">
        <w:rPr>
          <w:rFonts w:ascii="Times New Roman" w:hAnsi="Times New Roman"/>
          <w:sz w:val="24"/>
          <w:szCs w:val="24"/>
        </w:rPr>
        <w:t xml:space="preserve">educators may often move on to newer and more technologically advanced methods of teaching, leaving behind methodology and activities that worked exceptionally well in the past, but are perhaps not cutting edge anymore and are relegated to the “teaching graveyard”.  </w:t>
      </w:r>
      <w:r w:rsidR="00B47207">
        <w:rPr>
          <w:rFonts w:ascii="Times New Roman" w:hAnsi="Times New Roman"/>
          <w:sz w:val="24"/>
          <w:szCs w:val="24"/>
        </w:rPr>
        <w:t>The combination of these two phenomena may result in classrooms that are less engaged with students who seem uninterested in learning anything other than “is that going to be on the exam?”</w:t>
      </w:r>
    </w:p>
    <w:p w:rsidR="00B47207" w:rsidRDefault="00B47207" w:rsidP="00B47207">
      <w:pPr>
        <w:spacing w:after="0" w:line="330" w:lineRule="atLeast"/>
        <w:ind w:left="-45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Pr="00B47207">
        <w:rPr>
          <w:rFonts w:ascii="Times New Roman" w:eastAsia="Times New Roman" w:hAnsi="Times New Roman" w:cs="Times New Roman"/>
          <w:bCs/>
          <w:color w:val="222222"/>
          <w:sz w:val="24"/>
          <w:szCs w:val="24"/>
        </w:rPr>
        <w:t>To this end, then, educators may lose sight of the fundamental techniques/exercise</w:t>
      </w:r>
      <w:r>
        <w:rPr>
          <w:rFonts w:ascii="Times New Roman" w:eastAsia="Times New Roman" w:hAnsi="Times New Roman" w:cs="Times New Roman"/>
          <w:bCs/>
          <w:color w:val="222222"/>
          <w:sz w:val="24"/>
          <w:szCs w:val="24"/>
        </w:rPr>
        <w:t xml:space="preserve">s/activities that, in the past, </w:t>
      </w:r>
      <w:r w:rsidRPr="00B47207">
        <w:rPr>
          <w:rFonts w:ascii="Times New Roman" w:eastAsia="Times New Roman" w:hAnsi="Times New Roman" w:cs="Times New Roman"/>
          <w:bCs/>
          <w:color w:val="222222"/>
          <w:sz w:val="24"/>
          <w:szCs w:val="24"/>
        </w:rPr>
        <w:t>seemed to increase student’s motivation to learn</w:t>
      </w:r>
      <w:r>
        <w:rPr>
          <w:rFonts w:ascii="Times New Roman" w:eastAsia="Times New Roman" w:hAnsi="Times New Roman" w:cs="Times New Roman"/>
          <w:bCs/>
          <w:color w:val="222222"/>
          <w:sz w:val="24"/>
          <w:szCs w:val="24"/>
        </w:rPr>
        <w:t xml:space="preserve">. </w:t>
      </w:r>
      <w:r w:rsidR="00552A69">
        <w:rPr>
          <w:rFonts w:ascii="Times New Roman" w:eastAsia="Times New Roman" w:hAnsi="Times New Roman" w:cs="Times New Roman"/>
          <w:bCs/>
          <w:color w:val="222222"/>
          <w:sz w:val="24"/>
          <w:szCs w:val="24"/>
        </w:rPr>
        <w:t xml:space="preserve">There is ample evidence that high student interest is related to positive student learning outcomes </w:t>
      </w:r>
      <w:r w:rsidR="006563E6">
        <w:rPr>
          <w:rFonts w:ascii="Times New Roman" w:eastAsia="Times New Roman" w:hAnsi="Times New Roman" w:cs="Times New Roman"/>
          <w:bCs/>
          <w:color w:val="222222"/>
          <w:sz w:val="24"/>
          <w:szCs w:val="24"/>
        </w:rPr>
        <w:t>(e.g.., Bergin, 1999; Hidi, 1990</w:t>
      </w:r>
      <w:r w:rsidR="00552A69">
        <w:rPr>
          <w:rFonts w:ascii="Times New Roman" w:eastAsia="Times New Roman" w:hAnsi="Times New Roman" w:cs="Times New Roman"/>
          <w:bCs/>
          <w:color w:val="222222"/>
          <w:sz w:val="24"/>
          <w:szCs w:val="24"/>
        </w:rPr>
        <w:t xml:space="preserve">; Weber &amp; Patterson, 2000) and that there is a causal chain from interest to intrinsic motivation to learning outcomes (Schiefele, 1991).  While this session does not specifically suggest that </w:t>
      </w:r>
      <w:r w:rsidR="00525C81">
        <w:rPr>
          <w:rFonts w:ascii="Times New Roman" w:eastAsia="Times New Roman" w:hAnsi="Times New Roman" w:cs="Times New Roman"/>
          <w:bCs/>
          <w:color w:val="222222"/>
          <w:sz w:val="24"/>
          <w:szCs w:val="24"/>
        </w:rPr>
        <w:t xml:space="preserve">educators today do not attempt to motivate students, it could be that integrating more </w:t>
      </w:r>
      <w:r w:rsidR="00161041">
        <w:rPr>
          <w:rFonts w:ascii="Times New Roman" w:eastAsia="Times New Roman" w:hAnsi="Times New Roman" w:cs="Times New Roman"/>
          <w:bCs/>
          <w:color w:val="222222"/>
          <w:sz w:val="24"/>
          <w:szCs w:val="24"/>
        </w:rPr>
        <w:t xml:space="preserve">“proven” </w:t>
      </w:r>
      <w:r w:rsidR="00525C81">
        <w:rPr>
          <w:rFonts w:ascii="Times New Roman" w:eastAsia="Times New Roman" w:hAnsi="Times New Roman" w:cs="Times New Roman"/>
          <w:bCs/>
          <w:color w:val="222222"/>
          <w:sz w:val="24"/>
          <w:szCs w:val="24"/>
        </w:rPr>
        <w:t xml:space="preserve">activities and projects to generate interest </w:t>
      </w:r>
      <w:r w:rsidR="006563E6">
        <w:rPr>
          <w:rFonts w:ascii="Times New Roman" w:eastAsia="Times New Roman" w:hAnsi="Times New Roman" w:cs="Times New Roman"/>
          <w:bCs/>
          <w:color w:val="222222"/>
          <w:sz w:val="24"/>
          <w:szCs w:val="24"/>
        </w:rPr>
        <w:t>will lead to a more intrinsic motivational orientation for learning, which in turn may lead to specific learning strategies including critical thinking, which can lead to learning depth and increased comprehension.</w:t>
      </w:r>
    </w:p>
    <w:p w:rsidR="00624D45" w:rsidRPr="00B47207" w:rsidRDefault="006563E6" w:rsidP="00161041">
      <w:pPr>
        <w:spacing w:after="0" w:line="330" w:lineRule="atLeast"/>
        <w:ind w:left="-450"/>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     For some educators, the increased amount of time spent on keeping up with the technological advances demanded by current course structure (posting lectures, learning software, the use of apps, etc.) may take priority over the implementation of time-consuming semester-long projects and activities.  Again, this session does not offer an opinion on the topic of technological advances but rather suggests that the effectiveness of pedagogical approaches which have worked in the past may in fact be found to be effective in increasing student interest, which may lead to increases in student motivation and thus, increased learning. </w:t>
      </w:r>
      <w:r w:rsidR="00B47207">
        <w:rPr>
          <w:rFonts w:ascii="source_sans_proregular" w:eastAsia="Times New Roman" w:hAnsi="source_sans_proregular" w:cs="Arial"/>
          <w:bCs/>
          <w:color w:val="222222"/>
          <w:sz w:val="21"/>
          <w:szCs w:val="21"/>
        </w:rPr>
        <w:br/>
      </w:r>
    </w:p>
    <w:p w:rsidR="00624D45" w:rsidRPr="00161041" w:rsidRDefault="00C8304D" w:rsidP="00161041">
      <w:pPr>
        <w:spacing w:after="0" w:line="330" w:lineRule="atLeast"/>
        <w:ind w:left="-450"/>
        <w:rPr>
          <w:rFonts w:ascii="Times New Roman" w:eastAsia="Times New Roman" w:hAnsi="Times New Roman" w:cs="Times New Roman"/>
          <w:color w:val="222222"/>
          <w:sz w:val="24"/>
          <w:szCs w:val="24"/>
        </w:rPr>
      </w:pPr>
      <w:r w:rsidRPr="00B47207">
        <w:rPr>
          <w:rFonts w:ascii="Times New Roman" w:eastAsia="Times New Roman" w:hAnsi="Times New Roman" w:cs="Times New Roman"/>
          <w:b/>
          <w:bCs/>
          <w:color w:val="222222"/>
          <w:sz w:val="24"/>
          <w:szCs w:val="24"/>
        </w:rPr>
        <w:t>Session Description.</w:t>
      </w:r>
      <w:r w:rsidRPr="00F413C5">
        <w:rPr>
          <w:rFonts w:ascii="Times New Roman" w:eastAsia="Times New Roman" w:hAnsi="Times New Roman" w:cs="Times New Roman"/>
          <w:color w:val="222222"/>
          <w:sz w:val="24"/>
          <w:szCs w:val="24"/>
        </w:rPr>
        <w:t xml:space="preserve"> </w:t>
      </w:r>
      <w:r w:rsidR="001E2A81">
        <w:rPr>
          <w:rFonts w:ascii="Times New Roman" w:eastAsia="Times New Roman" w:hAnsi="Times New Roman" w:cs="Times New Roman"/>
          <w:color w:val="222222"/>
          <w:sz w:val="24"/>
          <w:szCs w:val="24"/>
        </w:rPr>
        <w:br/>
      </w:r>
      <w:r w:rsidR="001E2A81">
        <w:rPr>
          <w:rFonts w:ascii="Times New Roman" w:eastAsia="Times New Roman" w:hAnsi="Times New Roman" w:cs="Times New Roman"/>
          <w:color w:val="222222"/>
          <w:sz w:val="24"/>
          <w:szCs w:val="24"/>
        </w:rPr>
        <w:br/>
        <w:t xml:space="preserve">     </w:t>
      </w:r>
      <w:r w:rsidRPr="00B47207">
        <w:rPr>
          <w:rFonts w:ascii="Times New Roman" w:eastAsia="Times New Roman" w:hAnsi="Times New Roman" w:cs="Times New Roman"/>
          <w:color w:val="222222"/>
          <w:sz w:val="24"/>
          <w:szCs w:val="24"/>
        </w:rPr>
        <w:t>The best roundtable discussions often come with little structure, other than setting the stage</w:t>
      </w:r>
      <w:r w:rsidR="00624D45" w:rsidRPr="00B47207">
        <w:rPr>
          <w:rFonts w:ascii="Times New Roman" w:eastAsia="Times New Roman" w:hAnsi="Times New Roman" w:cs="Times New Roman"/>
          <w:color w:val="222222"/>
          <w:sz w:val="24"/>
          <w:szCs w:val="24"/>
        </w:rPr>
        <w:t>, at least in my experience at OBTC</w:t>
      </w:r>
      <w:r w:rsidR="001E2A81">
        <w:rPr>
          <w:rFonts w:ascii="Times New Roman" w:eastAsia="Times New Roman" w:hAnsi="Times New Roman" w:cs="Times New Roman"/>
          <w:color w:val="222222"/>
          <w:sz w:val="24"/>
          <w:szCs w:val="24"/>
        </w:rPr>
        <w:t xml:space="preserve"> over the past 16 years</w:t>
      </w:r>
      <w:r w:rsidRPr="00B47207">
        <w:rPr>
          <w:rFonts w:ascii="Times New Roman" w:eastAsia="Times New Roman" w:hAnsi="Times New Roman" w:cs="Times New Roman"/>
          <w:color w:val="222222"/>
          <w:sz w:val="24"/>
          <w:szCs w:val="24"/>
        </w:rPr>
        <w:t xml:space="preserve">.  I plan to briefly (8-10 minutes) describe some experiences that have been meaningful to my teaching, focusing on those that occurred in the first 5 years of my career.  Specifically, those experiences as a doctoral student and as an early career educator at my first University position.  </w:t>
      </w:r>
      <w:r w:rsidR="00321A9C" w:rsidRPr="00B47207">
        <w:rPr>
          <w:rFonts w:ascii="Times New Roman" w:eastAsia="Times New Roman" w:hAnsi="Times New Roman" w:cs="Times New Roman"/>
          <w:color w:val="222222"/>
          <w:sz w:val="24"/>
          <w:szCs w:val="24"/>
        </w:rPr>
        <w:t>For example, one class helped develop the framework for a community event that the instructor was in charge of, and through the process of using student ideas and feedback, student participation in the event (a Walk/Run that raised money for the Cancer Center in town) was nearly 100% (through participation and volunteering).  Session participants will be asked to share their “best practice” with ensuing discussion revolving around how others could possibly implement something similar in their class.</w:t>
      </w:r>
      <w:r w:rsidR="00161041">
        <w:rPr>
          <w:rFonts w:ascii="Times New Roman" w:eastAsia="Times New Roman" w:hAnsi="Times New Roman" w:cs="Times New Roman"/>
          <w:color w:val="222222"/>
          <w:sz w:val="24"/>
          <w:szCs w:val="24"/>
        </w:rPr>
        <w:t xml:space="preserve">  A priority will be to generate a list of methods, activities, projects, and so on which participants can either adopt or adapt for their own use.</w:t>
      </w:r>
    </w:p>
    <w:p w:rsidR="00321A9C" w:rsidRDefault="00321A9C" w:rsidP="00321A9C">
      <w:pPr>
        <w:spacing w:after="0" w:line="330" w:lineRule="atLeast"/>
        <w:ind w:left="-450"/>
        <w:rPr>
          <w:rFonts w:ascii="source_sans_proregular" w:eastAsia="Times New Roman" w:hAnsi="source_sans_proregular" w:cs="Arial"/>
          <w:color w:val="222222"/>
          <w:sz w:val="21"/>
          <w:szCs w:val="21"/>
        </w:rPr>
      </w:pPr>
    </w:p>
    <w:p w:rsidR="00C8304D" w:rsidRPr="00F413C5" w:rsidRDefault="00C8304D" w:rsidP="00624D45">
      <w:pPr>
        <w:spacing w:after="0" w:line="330" w:lineRule="atLeast"/>
        <w:ind w:left="-450"/>
        <w:rPr>
          <w:rFonts w:ascii="source_sans_proregular" w:eastAsia="Times New Roman" w:hAnsi="source_sans_proregular" w:cs="Arial"/>
          <w:color w:val="222222"/>
          <w:sz w:val="21"/>
          <w:szCs w:val="21"/>
        </w:rPr>
      </w:pPr>
      <w:r w:rsidRPr="00F413C5">
        <w:rPr>
          <w:rFonts w:ascii="source_sans_proregular" w:eastAsia="Times New Roman" w:hAnsi="source_sans_proregular" w:cs="Arial"/>
          <w:color w:val="222222"/>
          <w:sz w:val="21"/>
          <w:szCs w:val="21"/>
        </w:rPr>
        <w:t>.</w:t>
      </w:r>
    </w:p>
    <w:p w:rsidR="00C1652B" w:rsidRPr="00245FC9" w:rsidRDefault="00245FC9" w:rsidP="00245FC9">
      <w:pPr>
        <w:tabs>
          <w:tab w:val="left" w:pos="6675"/>
        </w:tabs>
        <w:rPr>
          <w:rFonts w:ascii="Times New Roman" w:hAnsi="Times New Roman" w:cs="Times New Roman"/>
          <w:sz w:val="24"/>
          <w:szCs w:val="24"/>
        </w:rPr>
      </w:pPr>
      <w:r>
        <w:rPr>
          <w:rFonts w:ascii="Times New Roman" w:hAnsi="Times New Roman" w:cs="Times New Roman"/>
          <w:sz w:val="24"/>
          <w:szCs w:val="24"/>
        </w:rPr>
        <w:tab/>
      </w:r>
    </w:p>
    <w:sectPr w:rsidR="00C1652B" w:rsidRPr="00245F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93" w:rsidRDefault="00E22493" w:rsidP="00245FC9">
      <w:pPr>
        <w:spacing w:after="0" w:line="240" w:lineRule="auto"/>
      </w:pPr>
      <w:r>
        <w:separator/>
      </w:r>
    </w:p>
  </w:endnote>
  <w:endnote w:type="continuationSeparator" w:id="0">
    <w:p w:rsidR="00E22493" w:rsidRDefault="00E22493" w:rsidP="0024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_sans_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93" w:rsidRDefault="00E22493" w:rsidP="00245FC9">
      <w:pPr>
        <w:spacing w:after="0" w:line="240" w:lineRule="auto"/>
      </w:pPr>
      <w:r>
        <w:separator/>
      </w:r>
    </w:p>
  </w:footnote>
  <w:footnote w:type="continuationSeparator" w:id="0">
    <w:p w:rsidR="00E22493" w:rsidRDefault="00E22493" w:rsidP="0024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C9" w:rsidRPr="00245FC9" w:rsidRDefault="00245FC9">
    <w:pPr>
      <w:pStyle w:val="Header"/>
      <w:tabs>
        <w:tab w:val="clear" w:pos="4680"/>
        <w:tab w:val="clear" w:pos="9360"/>
      </w:tabs>
      <w:jc w:val="right"/>
      <w:rPr>
        <w:rFonts w:ascii="Times New Roman" w:hAnsi="Times New Roman" w:cs="Times New Roman"/>
        <w:sz w:val="24"/>
        <w:szCs w:val="24"/>
      </w:rPr>
    </w:pPr>
    <w:r w:rsidRPr="00245FC9">
      <w:rPr>
        <w:rFonts w:ascii="Times New Roman" w:hAnsi="Times New Roman" w:cs="Times New Roman"/>
        <w:sz w:val="24"/>
        <w:szCs w:val="24"/>
      </w:rPr>
      <w:t xml:space="preserve">Turning Back the Clock:  Reflection to </w:t>
    </w:r>
    <w:r w:rsidR="006563E6">
      <w:rPr>
        <w:rFonts w:ascii="Times New Roman" w:hAnsi="Times New Roman" w:cs="Times New Roman"/>
        <w:sz w:val="24"/>
        <w:szCs w:val="24"/>
      </w:rPr>
      <w:t>Increase Learning</w:t>
    </w:r>
    <w:r w:rsidRPr="00245FC9">
      <w:rPr>
        <w:rFonts w:ascii="Times New Roman" w:hAnsi="Times New Roman" w:cs="Times New Roman"/>
        <w:sz w:val="24"/>
        <w:szCs w:val="24"/>
      </w:rPr>
      <w:t xml:space="preserve"> in the Classroom</w:t>
    </w:r>
  </w:p>
  <w:p w:rsidR="00245FC9" w:rsidRDefault="0024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D739C"/>
    <w:multiLevelType w:val="multilevel"/>
    <w:tmpl w:val="F37EC2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C9"/>
    <w:rsid w:val="0002126A"/>
    <w:rsid w:val="00161041"/>
    <w:rsid w:val="001E2A81"/>
    <w:rsid w:val="00245FC9"/>
    <w:rsid w:val="00321A9C"/>
    <w:rsid w:val="00525C81"/>
    <w:rsid w:val="00552A69"/>
    <w:rsid w:val="00624D45"/>
    <w:rsid w:val="006563E6"/>
    <w:rsid w:val="008416BC"/>
    <w:rsid w:val="00845D48"/>
    <w:rsid w:val="00926B32"/>
    <w:rsid w:val="00976D1B"/>
    <w:rsid w:val="00B325CE"/>
    <w:rsid w:val="00B33F6F"/>
    <w:rsid w:val="00B47207"/>
    <w:rsid w:val="00C1652B"/>
    <w:rsid w:val="00C8304D"/>
    <w:rsid w:val="00E22493"/>
    <w:rsid w:val="00E9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72E8"/>
  <w15:chartTrackingRefBased/>
  <w15:docId w15:val="{7CADB479-A065-481E-951D-5C9C8FE8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C9"/>
  </w:style>
  <w:style w:type="paragraph" w:styleId="Footer">
    <w:name w:val="footer"/>
    <w:basedOn w:val="Normal"/>
    <w:link w:val="FooterChar"/>
    <w:uiPriority w:val="99"/>
    <w:unhideWhenUsed/>
    <w:rsid w:val="0024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C9"/>
  </w:style>
  <w:style w:type="character" w:styleId="CommentReference">
    <w:name w:val="annotation reference"/>
    <w:basedOn w:val="DefaultParagraphFont"/>
    <w:uiPriority w:val="99"/>
    <w:semiHidden/>
    <w:unhideWhenUsed/>
    <w:rsid w:val="00976D1B"/>
    <w:rPr>
      <w:sz w:val="16"/>
      <w:szCs w:val="16"/>
    </w:rPr>
  </w:style>
  <w:style w:type="paragraph" w:styleId="CommentText">
    <w:name w:val="annotation text"/>
    <w:basedOn w:val="Normal"/>
    <w:link w:val="CommentTextChar"/>
    <w:uiPriority w:val="99"/>
    <w:semiHidden/>
    <w:unhideWhenUsed/>
    <w:rsid w:val="00976D1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76D1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2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4D4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4D45"/>
    <w:rPr>
      <w:rFonts w:ascii="Calibri" w:eastAsia="Calibri" w:hAnsi="Calibri" w:cs="Times New Roman"/>
      <w:b/>
      <w:bCs/>
      <w:sz w:val="20"/>
      <w:szCs w:val="20"/>
    </w:rPr>
  </w:style>
  <w:style w:type="paragraph" w:styleId="Revision">
    <w:name w:val="Revision"/>
    <w:hidden/>
    <w:uiPriority w:val="99"/>
    <w:semiHidden/>
    <w:rsid w:val="00624D45"/>
    <w:pPr>
      <w:spacing w:after="0" w:line="240" w:lineRule="auto"/>
    </w:pPr>
  </w:style>
  <w:style w:type="paragraph" w:styleId="ListParagraph">
    <w:name w:val="List Paragraph"/>
    <w:basedOn w:val="Normal"/>
    <w:uiPriority w:val="34"/>
    <w:qFormat/>
    <w:rsid w:val="001E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F72F-3FAE-4BA1-B4DE-9821AF10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Palmer</dc:creator>
  <cp:keywords/>
  <dc:description/>
  <cp:lastModifiedBy>Julie Palmer</cp:lastModifiedBy>
  <cp:revision>7</cp:revision>
  <dcterms:created xsi:type="dcterms:W3CDTF">2018-01-15T18:47:00Z</dcterms:created>
  <dcterms:modified xsi:type="dcterms:W3CDTF">2018-01-15T23:42:00Z</dcterms:modified>
</cp:coreProperties>
</file>