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2010" w14:textId="77777777" w:rsidR="00972BF0" w:rsidRDefault="00972BF0" w:rsidP="00DC3E11">
      <w:pPr>
        <w:jc w:val="center"/>
        <w:rPr>
          <w:b/>
          <w:bCs/>
        </w:rPr>
      </w:pPr>
    </w:p>
    <w:p w14:paraId="2F782D45" w14:textId="76DBCD40" w:rsidR="007359C3" w:rsidRDefault="009D5CAB" w:rsidP="00DC3E11">
      <w:pPr>
        <w:jc w:val="center"/>
        <w:rPr>
          <w:b/>
          <w:bCs/>
        </w:rPr>
      </w:pPr>
      <w:r>
        <w:rPr>
          <w:b/>
          <w:bCs/>
        </w:rPr>
        <w:t>Teachable diversity moments</w:t>
      </w:r>
      <w:r w:rsidR="007442EB">
        <w:rPr>
          <w:b/>
          <w:bCs/>
        </w:rPr>
        <w:t xml:space="preserve"> in management</w:t>
      </w:r>
      <w:r>
        <w:rPr>
          <w:b/>
          <w:bCs/>
        </w:rPr>
        <w:t xml:space="preserve">: Leveraging case studies for teaching </w:t>
      </w:r>
      <w:r w:rsidR="005357E1">
        <w:rPr>
          <w:b/>
          <w:bCs/>
        </w:rPr>
        <w:t>diversity, equity, and inclusion (DEI</w:t>
      </w:r>
      <w:r w:rsidR="007442EB">
        <w:rPr>
          <w:b/>
          <w:bCs/>
        </w:rPr>
        <w:t>)</w:t>
      </w:r>
    </w:p>
    <w:p w14:paraId="2CED9471" w14:textId="31647271" w:rsidR="00972BF0" w:rsidRDefault="00972BF0" w:rsidP="00972BF0">
      <w:pPr>
        <w:rPr>
          <w:b/>
          <w:bCs/>
        </w:rPr>
      </w:pPr>
    </w:p>
    <w:p w14:paraId="75872626" w14:textId="31E47FC4" w:rsidR="00972BF0" w:rsidRDefault="00972BF0" w:rsidP="00D872D6">
      <w:pPr>
        <w:rPr>
          <w:b/>
          <w:bCs/>
        </w:rPr>
      </w:pPr>
    </w:p>
    <w:p w14:paraId="32D21796" w14:textId="77777777" w:rsidR="00972BF0" w:rsidRPr="00735988" w:rsidRDefault="00972BF0" w:rsidP="00972BF0">
      <w:pPr>
        <w:rPr>
          <w:rFonts w:cs="Times New Roman"/>
          <w:szCs w:val="24"/>
        </w:rPr>
      </w:pPr>
      <w:r w:rsidRPr="00735988">
        <w:rPr>
          <w:rFonts w:cs="Times New Roman"/>
          <w:szCs w:val="24"/>
        </w:rPr>
        <w:t>Abstract</w:t>
      </w:r>
    </w:p>
    <w:p w14:paraId="4C6CE893" w14:textId="14B748A2" w:rsidR="00770F47" w:rsidRDefault="00874108" w:rsidP="00770F47">
      <w:r w:rsidRPr="00874108">
        <w:rPr>
          <w:rFonts w:eastAsiaTheme="majorEastAsia" w:cs="Times New Roman"/>
          <w:spacing w:val="-10"/>
          <w:kern w:val="28"/>
          <w:szCs w:val="24"/>
        </w:rPr>
        <w:t xml:space="preserve">Delivering and instructing Diversity, Equity, and Inclusion (DEI) topics are, in some instances, complex </w:t>
      </w:r>
      <w:r w:rsidR="0012533B">
        <w:rPr>
          <w:rFonts w:eastAsiaTheme="majorEastAsia" w:cs="Times New Roman"/>
          <w:spacing w:val="-10"/>
          <w:kern w:val="28"/>
          <w:szCs w:val="24"/>
        </w:rPr>
        <w:t xml:space="preserve">endeavors for </w:t>
      </w:r>
      <w:r w:rsidRPr="00874108">
        <w:rPr>
          <w:rFonts w:eastAsiaTheme="majorEastAsia" w:cs="Times New Roman"/>
          <w:spacing w:val="-10"/>
          <w:kern w:val="28"/>
          <w:szCs w:val="24"/>
        </w:rPr>
        <w:t xml:space="preserve">instructors </w:t>
      </w:r>
      <w:r w:rsidR="0012533B">
        <w:rPr>
          <w:rFonts w:eastAsiaTheme="majorEastAsia" w:cs="Times New Roman"/>
          <w:spacing w:val="-10"/>
          <w:kern w:val="28"/>
          <w:szCs w:val="24"/>
        </w:rPr>
        <w:t>to undertake, and can equally difficult subject matter for</w:t>
      </w:r>
      <w:r w:rsidRPr="00874108">
        <w:rPr>
          <w:rFonts w:eastAsiaTheme="majorEastAsia" w:cs="Times New Roman"/>
          <w:spacing w:val="-10"/>
          <w:kern w:val="28"/>
          <w:szCs w:val="24"/>
        </w:rPr>
        <w:t xml:space="preserve"> students. </w:t>
      </w:r>
      <w:r w:rsidR="0012533B">
        <w:rPr>
          <w:rFonts w:eastAsiaTheme="majorEastAsia" w:cs="Times New Roman"/>
          <w:spacing w:val="-10"/>
          <w:kern w:val="28"/>
          <w:szCs w:val="24"/>
        </w:rPr>
        <w:t>The most</w:t>
      </w:r>
      <w:r w:rsidRPr="00874108">
        <w:rPr>
          <w:rFonts w:eastAsiaTheme="majorEastAsia" w:cs="Times New Roman"/>
          <w:spacing w:val="-10"/>
          <w:kern w:val="28"/>
          <w:szCs w:val="24"/>
        </w:rPr>
        <w:t xml:space="preserve"> common approach </w:t>
      </w:r>
      <w:r w:rsidR="0012533B">
        <w:rPr>
          <w:rFonts w:eastAsiaTheme="majorEastAsia" w:cs="Times New Roman"/>
          <w:spacing w:val="-10"/>
          <w:kern w:val="28"/>
          <w:szCs w:val="24"/>
        </w:rPr>
        <w:t xml:space="preserve">for teaching this </w:t>
      </w:r>
      <w:r w:rsidRPr="00874108">
        <w:rPr>
          <w:rFonts w:eastAsiaTheme="majorEastAsia" w:cs="Times New Roman"/>
          <w:spacing w:val="-10"/>
          <w:kern w:val="28"/>
          <w:szCs w:val="24"/>
        </w:rPr>
        <w:t xml:space="preserve">important topic </w:t>
      </w:r>
      <w:r w:rsidR="0012533B">
        <w:rPr>
          <w:rFonts w:eastAsiaTheme="majorEastAsia" w:cs="Times New Roman"/>
          <w:spacing w:val="-10"/>
          <w:kern w:val="28"/>
          <w:szCs w:val="24"/>
        </w:rPr>
        <w:t xml:space="preserve">of DEI </w:t>
      </w:r>
      <w:r w:rsidRPr="00874108">
        <w:rPr>
          <w:rFonts w:eastAsiaTheme="majorEastAsia" w:cs="Times New Roman"/>
          <w:spacing w:val="-10"/>
          <w:kern w:val="28"/>
          <w:szCs w:val="24"/>
        </w:rPr>
        <w:t xml:space="preserve">has </w:t>
      </w:r>
      <w:r w:rsidR="0012533B">
        <w:rPr>
          <w:rFonts w:eastAsiaTheme="majorEastAsia" w:cs="Times New Roman"/>
          <w:spacing w:val="-10"/>
          <w:kern w:val="28"/>
          <w:szCs w:val="24"/>
        </w:rPr>
        <w:t xml:space="preserve">typically </w:t>
      </w:r>
      <w:r w:rsidRPr="00874108">
        <w:rPr>
          <w:rFonts w:eastAsiaTheme="majorEastAsia" w:cs="Times New Roman"/>
          <w:spacing w:val="-10"/>
          <w:kern w:val="28"/>
          <w:szCs w:val="24"/>
        </w:rPr>
        <w:t xml:space="preserve">focused on theoretical models, </w:t>
      </w:r>
      <w:r w:rsidR="0012533B">
        <w:rPr>
          <w:rFonts w:eastAsiaTheme="majorEastAsia" w:cs="Times New Roman"/>
          <w:spacing w:val="-10"/>
          <w:kern w:val="28"/>
          <w:szCs w:val="24"/>
        </w:rPr>
        <w:t>oftentimes marginalizing</w:t>
      </w:r>
      <w:r w:rsidRPr="00874108">
        <w:rPr>
          <w:rFonts w:eastAsiaTheme="majorEastAsia" w:cs="Times New Roman"/>
          <w:spacing w:val="-10"/>
          <w:kern w:val="28"/>
          <w:szCs w:val="24"/>
        </w:rPr>
        <w:t xml:space="preserve"> the application of this knowledge. Teaching with cases is a common pedagogical method that allows instructors to </w:t>
      </w:r>
      <w:r w:rsidR="0012533B">
        <w:rPr>
          <w:rFonts w:eastAsiaTheme="majorEastAsia" w:cs="Times New Roman"/>
          <w:spacing w:val="-10"/>
          <w:kern w:val="28"/>
          <w:szCs w:val="24"/>
        </w:rPr>
        <w:t xml:space="preserve">introduce to complex </w:t>
      </w:r>
      <w:r w:rsidRPr="00874108">
        <w:rPr>
          <w:rFonts w:eastAsiaTheme="majorEastAsia" w:cs="Times New Roman"/>
          <w:spacing w:val="-10"/>
          <w:kern w:val="28"/>
          <w:szCs w:val="24"/>
        </w:rPr>
        <w:t>business problems</w:t>
      </w:r>
      <w:r w:rsidR="0012533B">
        <w:rPr>
          <w:rFonts w:eastAsiaTheme="majorEastAsia" w:cs="Times New Roman"/>
          <w:spacing w:val="-10"/>
          <w:kern w:val="28"/>
          <w:szCs w:val="24"/>
        </w:rPr>
        <w:t xml:space="preserve"> in real world companies</w:t>
      </w:r>
      <w:r w:rsidRPr="00874108">
        <w:rPr>
          <w:rFonts w:eastAsiaTheme="majorEastAsia" w:cs="Times New Roman"/>
          <w:spacing w:val="-10"/>
          <w:kern w:val="28"/>
          <w:szCs w:val="24"/>
        </w:rPr>
        <w:t xml:space="preserve">. </w:t>
      </w:r>
      <w:r w:rsidR="0012533B">
        <w:rPr>
          <w:rFonts w:eastAsiaTheme="majorEastAsia" w:cs="Times New Roman"/>
          <w:spacing w:val="-10"/>
          <w:kern w:val="28"/>
          <w:szCs w:val="24"/>
        </w:rPr>
        <w:t xml:space="preserve">Especially when considering </w:t>
      </w:r>
      <w:r w:rsidRPr="00874108">
        <w:rPr>
          <w:rFonts w:eastAsiaTheme="majorEastAsia" w:cs="Times New Roman"/>
          <w:spacing w:val="-10"/>
          <w:kern w:val="28"/>
          <w:szCs w:val="24"/>
        </w:rPr>
        <w:t xml:space="preserve">DEI issues </w:t>
      </w:r>
      <w:r w:rsidR="006A149B">
        <w:rPr>
          <w:rFonts w:eastAsiaTheme="majorEastAsia" w:cs="Times New Roman"/>
          <w:spacing w:val="-10"/>
          <w:kern w:val="28"/>
          <w:szCs w:val="24"/>
        </w:rPr>
        <w:t>comprise and important</w:t>
      </w:r>
      <w:r w:rsidRPr="00874108">
        <w:rPr>
          <w:rFonts w:eastAsiaTheme="majorEastAsia" w:cs="Times New Roman"/>
          <w:spacing w:val="-10"/>
          <w:kern w:val="28"/>
          <w:szCs w:val="24"/>
        </w:rPr>
        <w:t xml:space="preserve"> </w:t>
      </w:r>
      <w:r w:rsidR="006A149B">
        <w:rPr>
          <w:rFonts w:eastAsiaTheme="majorEastAsia" w:cs="Times New Roman"/>
          <w:spacing w:val="-10"/>
          <w:kern w:val="28"/>
          <w:szCs w:val="24"/>
        </w:rPr>
        <w:t xml:space="preserve">ongoing </w:t>
      </w:r>
      <w:r w:rsidRPr="00874108">
        <w:rPr>
          <w:rFonts w:eastAsiaTheme="majorEastAsia" w:cs="Times New Roman"/>
          <w:spacing w:val="-10"/>
          <w:kern w:val="28"/>
          <w:szCs w:val="24"/>
        </w:rPr>
        <w:t xml:space="preserve">conversation in management education, we propose a round table session that </w:t>
      </w:r>
      <w:r w:rsidR="006A149B">
        <w:rPr>
          <w:rFonts w:eastAsiaTheme="majorEastAsia" w:cs="Times New Roman"/>
          <w:spacing w:val="-10"/>
          <w:kern w:val="28"/>
          <w:szCs w:val="24"/>
        </w:rPr>
        <w:t xml:space="preserve">brings together </w:t>
      </w:r>
      <w:r w:rsidRPr="00874108">
        <w:rPr>
          <w:rFonts w:eastAsiaTheme="majorEastAsia" w:cs="Times New Roman"/>
          <w:spacing w:val="-10"/>
          <w:kern w:val="28"/>
          <w:szCs w:val="24"/>
        </w:rPr>
        <w:t>management educators that use this approach to teach DE</w:t>
      </w:r>
      <w:r w:rsidR="006A149B">
        <w:rPr>
          <w:rFonts w:eastAsiaTheme="majorEastAsia" w:cs="Times New Roman"/>
          <w:spacing w:val="-10"/>
          <w:kern w:val="28"/>
          <w:szCs w:val="24"/>
        </w:rPr>
        <w:t>I</w:t>
      </w:r>
      <w:r w:rsidRPr="00874108">
        <w:rPr>
          <w:rFonts w:eastAsiaTheme="majorEastAsia" w:cs="Times New Roman"/>
          <w:spacing w:val="-10"/>
          <w:kern w:val="28"/>
          <w:szCs w:val="24"/>
        </w:rPr>
        <w:t xml:space="preserve"> and guide those interested in using them.</w:t>
      </w:r>
    </w:p>
    <w:p w14:paraId="7FFEE7C4" w14:textId="745C97B3" w:rsidR="00972BF0" w:rsidRDefault="00972BF0" w:rsidP="00972BF0">
      <w:pPr>
        <w:pStyle w:val="Title"/>
        <w:spacing w:line="480" w:lineRule="auto"/>
        <w:rPr>
          <w:rFonts w:ascii="Times New Roman" w:hAnsi="Times New Roman" w:cs="Times New Roman"/>
          <w:sz w:val="24"/>
          <w:szCs w:val="24"/>
        </w:rPr>
      </w:pPr>
    </w:p>
    <w:p w14:paraId="1F34A025" w14:textId="77777777" w:rsidR="00723B35" w:rsidRPr="00723B35" w:rsidRDefault="00723B35" w:rsidP="00723B35"/>
    <w:p w14:paraId="710E4B4D" w14:textId="1A4777C5" w:rsidR="00972BF0" w:rsidRDefault="00972BF0" w:rsidP="00972BF0">
      <w:pPr>
        <w:pStyle w:val="Title"/>
        <w:spacing w:line="480" w:lineRule="auto"/>
        <w:rPr>
          <w:rFonts w:ascii="Times New Roman" w:hAnsi="Times New Roman" w:cs="Times New Roman"/>
          <w:sz w:val="24"/>
          <w:szCs w:val="24"/>
        </w:rPr>
      </w:pPr>
    </w:p>
    <w:p w14:paraId="42CA7A09" w14:textId="6CB89152" w:rsidR="00F84DDC" w:rsidRDefault="00F84DDC" w:rsidP="00F84DDC"/>
    <w:p w14:paraId="7FABDFC3" w14:textId="77777777" w:rsidR="00F84DDC" w:rsidRPr="00F84DDC" w:rsidRDefault="00F84DDC" w:rsidP="00F84DDC"/>
    <w:p w14:paraId="4C6BC7FA" w14:textId="77777777" w:rsidR="00972BF0" w:rsidRPr="00735988" w:rsidRDefault="00972BF0" w:rsidP="00972BF0">
      <w:pPr>
        <w:pStyle w:val="Title"/>
        <w:spacing w:line="480" w:lineRule="auto"/>
        <w:rPr>
          <w:rFonts w:ascii="Times New Roman" w:hAnsi="Times New Roman" w:cs="Times New Roman"/>
          <w:sz w:val="24"/>
          <w:szCs w:val="24"/>
        </w:rPr>
      </w:pPr>
    </w:p>
    <w:p w14:paraId="5DE3972A" w14:textId="03BBD0D4" w:rsidR="00972BF0" w:rsidRPr="00735988" w:rsidRDefault="00972BF0" w:rsidP="00972BF0">
      <w:pPr>
        <w:rPr>
          <w:rFonts w:cs="Times New Roman"/>
          <w:szCs w:val="24"/>
        </w:rPr>
      </w:pPr>
      <w:r w:rsidRPr="00735988">
        <w:rPr>
          <w:rFonts w:cs="Times New Roman"/>
          <w:szCs w:val="24"/>
        </w:rPr>
        <w:t xml:space="preserve">Keywords: </w:t>
      </w:r>
      <w:r w:rsidR="00520148">
        <w:rPr>
          <w:rFonts w:cs="Times New Roman"/>
          <w:szCs w:val="24"/>
        </w:rPr>
        <w:t>DEI, Case Studies, pedagogical approaches</w:t>
      </w:r>
      <w:r w:rsidRPr="00735988">
        <w:rPr>
          <w:rFonts w:cs="Times New Roman"/>
          <w:szCs w:val="24"/>
        </w:rPr>
        <w:t xml:space="preserve">. </w:t>
      </w:r>
    </w:p>
    <w:p w14:paraId="33B64A96" w14:textId="77777777" w:rsidR="00723B35" w:rsidRDefault="00723B35" w:rsidP="00723B35">
      <w:pPr>
        <w:jc w:val="center"/>
        <w:rPr>
          <w:b/>
          <w:bCs/>
        </w:rPr>
      </w:pPr>
      <w:r>
        <w:rPr>
          <w:b/>
          <w:bCs/>
        </w:rPr>
        <w:lastRenderedPageBreak/>
        <w:t>Teachable diversity moments in management: Leveraging case studies for teaching diversity, equity, and inclusion (DEI)</w:t>
      </w:r>
    </w:p>
    <w:p w14:paraId="7F9EE8D3" w14:textId="506B2F78" w:rsidR="00CC70C0" w:rsidRDefault="00CC70C0">
      <w:pPr>
        <w:rPr>
          <w:b/>
          <w:bCs/>
        </w:rPr>
      </w:pPr>
      <w:r w:rsidRPr="00FF4D0A">
        <w:rPr>
          <w:b/>
          <w:bCs/>
        </w:rPr>
        <w:t>Introduction</w:t>
      </w:r>
    </w:p>
    <w:p w14:paraId="76BE197F" w14:textId="1DDC8E75" w:rsidR="003031A0" w:rsidRDefault="00C102B6" w:rsidP="00CD0127">
      <w:pPr>
        <w:spacing w:after="0"/>
        <w:ind w:firstLine="720"/>
      </w:pPr>
      <w:r>
        <w:t xml:space="preserve">Practitioners attribute the Diversity, Equity and Inclusion </w:t>
      </w:r>
      <w:r w:rsidR="00D46E39">
        <w:t xml:space="preserve">(DEI) </w:t>
      </w:r>
      <w:r>
        <w:t xml:space="preserve">emergence in the </w:t>
      </w:r>
      <w:r w:rsidR="00520148">
        <w:t xml:space="preserve">US </w:t>
      </w:r>
      <w:r>
        <w:t xml:space="preserve">workplace to </w:t>
      </w:r>
      <w:r w:rsidR="00520148">
        <w:t>equal employment laws and affirmative action</w:t>
      </w:r>
      <w:r w:rsidR="007D02A2">
        <w:t xml:space="preserve"> </w:t>
      </w:r>
      <w:r w:rsidR="007D02A2">
        <w:fldChar w:fldCharType="begin" w:fldLock="1"/>
      </w:r>
      <w:r w:rsidR="00E10E8E">
        <w:instrText>ADDIN CSL_CITATION {"citationItems":[{"id":"ITEM-1","itemData":{"URL":"https://insights.grcglobalgroup.com/the-history-and-growth-of-the-diversity-equity-and-inclusion-profession/","author":[{"dropping-particle":"","family":"Dong","given":"Sarah","non-dropping-particle":"","parse-names":false,"suffix":""}],"container-title":"GRC Insights","id":"ITEM-1","issued":{"date-parts":[["2021"]]},"title":"The History and Growth of the Diversity, Equity, and Inclusion Profession","type":"webpage"},"uris":["http://www.mendeley.com/documents/?uuid=0fe0b7bb-3d25-4e3f-baad-78f8d036098b"]}],"mendeley":{"formattedCitation":"(Dong, 2021)","plainTextFormattedCitation":"(Dong, 2021)","previouslyFormattedCitation":"(Dong, 2021)"},"properties":{"noteIndex":0},"schema":"https://github.com/citation-style-language/schema/raw/master/csl-citation.json"}</w:instrText>
      </w:r>
      <w:r w:rsidR="007D02A2">
        <w:fldChar w:fldCharType="separate"/>
      </w:r>
      <w:r w:rsidR="007D02A2" w:rsidRPr="007D02A2">
        <w:rPr>
          <w:noProof/>
        </w:rPr>
        <w:t>(Dong, 2021)</w:t>
      </w:r>
      <w:r w:rsidR="007D02A2">
        <w:fldChar w:fldCharType="end"/>
      </w:r>
      <w:r w:rsidR="00520148">
        <w:t xml:space="preserve">. </w:t>
      </w:r>
      <w:r w:rsidR="007D02A2">
        <w:t>Since the mid</w:t>
      </w:r>
      <w:r w:rsidR="009F15A0">
        <w:t>-19</w:t>
      </w:r>
      <w:r w:rsidR="007D02A2">
        <w:t xml:space="preserve">60’s the </w:t>
      </w:r>
      <w:r w:rsidR="00D46E39">
        <w:t xml:space="preserve">private and public sector have worked </w:t>
      </w:r>
      <w:r w:rsidR="009F15A0">
        <w:t>to design and implement</w:t>
      </w:r>
      <w:r w:rsidR="00D46E39">
        <w:t xml:space="preserve"> DEI programs</w:t>
      </w:r>
      <w:r w:rsidR="009F15A0">
        <w:t xml:space="preserve"> intentions to comply with both legal and </w:t>
      </w:r>
      <w:r w:rsidR="0042465F">
        <w:t>ethic</w:t>
      </w:r>
      <w:r w:rsidR="009F15A0">
        <w:t>al obligations</w:t>
      </w:r>
      <w:r w:rsidR="0042465F">
        <w:t xml:space="preserve">. However, </w:t>
      </w:r>
      <w:r w:rsidR="00E95206">
        <w:t xml:space="preserve">a large body of research in the DEI field </w:t>
      </w:r>
      <w:r w:rsidR="009F15A0">
        <w:t>focuses</w:t>
      </w:r>
      <w:r w:rsidR="002E3181">
        <w:t xml:space="preserve"> beyond the compliance and ethical </w:t>
      </w:r>
      <w:r w:rsidR="009F15A0">
        <w:t>motivations</w:t>
      </w:r>
      <w:r w:rsidR="000276F2">
        <w:t>,</w:t>
      </w:r>
      <w:r w:rsidR="002E3181">
        <w:t xml:space="preserve"> </w:t>
      </w:r>
      <w:r w:rsidR="009F15A0">
        <w:t xml:space="preserve">and instead has discovered </w:t>
      </w:r>
      <w:r w:rsidR="002E3181">
        <w:t xml:space="preserve">there a </w:t>
      </w:r>
      <w:r w:rsidR="009F15A0">
        <w:t xml:space="preserve">competitive advantage conferred to firms who promote DEI initiatives. </w:t>
      </w:r>
      <w:r w:rsidR="002E3181">
        <w:t xml:space="preserve">In fact, a most recent study </w:t>
      </w:r>
      <w:r w:rsidR="00FD19D5">
        <w:t xml:space="preserve">by </w:t>
      </w:r>
      <w:r w:rsidR="00E10E8E" w:rsidRPr="00E10E8E">
        <w:t>McKinsey &amp; Company</w:t>
      </w:r>
      <w:r w:rsidR="00E10E8E">
        <w:t xml:space="preserve"> </w:t>
      </w:r>
      <w:r w:rsidR="00E10E8E">
        <w:fldChar w:fldCharType="begin" w:fldLock="1"/>
      </w:r>
      <w:r w:rsidR="003031A0">
        <w:instrText>ADDIN CSL_CITATION {"citationItems":[{"id":"ITEM-1","itemData":{"abstract":"Does diversity – the variety of an organization’s personnel – result in clear economic advantages? Convincing new evidence shows that companies with a diverse mix of board members left their competitors far behind during the volatile years as of 2008. Our new broad-based study covering companies in Germany, France, the United Kingdom, and the United States revealed differences in returns that exceed 50 percent. In addition, diversity is also a key differentiation factor in the war for young talent. Our study defined five levers businesses can apply to build, manage, and sustain diversity. Getting this right means giving top talent the opportunities and space to deliver results with passion – ultimately leading to higher financial rewards for all.","author":[{"dropping-particle":"","family":"Hunt","given":"Vivian","non-dropping-particle":"","parse-names":false,"suffix":""},{"dropping-particle":"","family":"Dixon-Fyle","given":"Sundiatu","non-dropping-particle":"","parse-names":false,"suffix":""},{"dropping-particle":"","family":"Prince","given":"Sara","non-dropping-particle":"","parse-names":false,"suffix":""},{"dropping-particle":"","family":"Dolan","given":"Kevin","non-dropping-particle":"","parse-names":false,"suffix":""}],"container-title":"How inclusion matters","id":"ITEM-1","issue":"May","issued":{"date-parts":[["2020"]]},"number-of-pages":"1-12","title":"Diversity wins","type":"report"},"uris":["http://www.mendeley.com/documents/?uuid=0f3f1da9-b5b0-45ae-bb90-2d9d0ec33489"]}],"mendeley":{"formattedCitation":"(Hunt et al., 2020)","plainTextFormattedCitation":"(Hunt et al., 2020)","previouslyFormattedCitation":"(Hunt et al., 2020)"},"properties":{"noteIndex":0},"schema":"https://github.com/citation-style-language/schema/raw/master/csl-citation.json"}</w:instrText>
      </w:r>
      <w:r w:rsidR="00E10E8E">
        <w:fldChar w:fldCharType="separate"/>
      </w:r>
      <w:r w:rsidR="00E10E8E" w:rsidRPr="00E10E8E">
        <w:rPr>
          <w:noProof/>
        </w:rPr>
        <w:t>(Hunt et al., 2020)</w:t>
      </w:r>
      <w:r w:rsidR="00E10E8E">
        <w:fldChar w:fldCharType="end"/>
      </w:r>
      <w:r w:rsidR="00AF6673">
        <w:t xml:space="preserve"> </w:t>
      </w:r>
      <w:r w:rsidR="009F15A0">
        <w:t>provides support for the notion that companies who invest and strategically enact DEI, bot</w:t>
      </w:r>
      <w:r w:rsidR="000D68C1">
        <w:t>h within management practices and standards, as well as through human resources actions</w:t>
      </w:r>
      <w:r w:rsidR="0042465F">
        <w:t xml:space="preserve">. </w:t>
      </w:r>
      <w:r w:rsidR="00E10E8E">
        <w:t>In other words, more diverse companies outperform those that are no</w:t>
      </w:r>
      <w:r w:rsidR="000D68C1">
        <w:t>, and in addition, such organizations are charting new territory for the development of DEI best practices.</w:t>
      </w:r>
    </w:p>
    <w:p w14:paraId="5BB634C8" w14:textId="7A3EBC8F" w:rsidR="00C102B6" w:rsidRDefault="003031A0" w:rsidP="00251189">
      <w:pPr>
        <w:spacing w:after="0"/>
        <w:ind w:firstLine="720"/>
      </w:pPr>
      <w:r>
        <w:t xml:space="preserve">Nevertheless, a big concern in relation to pedagogy of DEI relates to it complexity. </w:t>
      </w:r>
      <w:r w:rsidRPr="003031A0">
        <w:rPr>
          <w:noProof/>
        </w:rPr>
        <w:t>Harris et al.</w:t>
      </w:r>
      <w:r>
        <w:fldChar w:fldCharType="begin" w:fldLock="1"/>
      </w:r>
      <w:r w:rsidR="00910A1D">
        <w:instrText>ADDIN CSL_CITATION {"citationItems":[{"id":"ITEM-1","itemData":{"URL":"https://www.aacsb.edu/insights/articles/2021/12/embracing-the-complexity-of-dei","abstract":"How can business schools train the most effective DEI leaders? By teaching them to be vulnerable, empathetic, and open to different perspectives.","author":[{"dropping-particle":"","family":"Harris","given":"Cameron","non-dropping-particle":"","parse-names":false,"suffix":""},{"dropping-particle":"","family":"Josephson","given":"Brett","non-dropping-particle":"","parse-names":false,"suffix":""},{"dropping-particle":"","family":"Kessier","given":"Benjamin","non-dropping-particle":"","parse-names":false,"suffix":""},{"dropping-particle":"","family":"Landoll","given":"Christine","non-dropping-particle":"","parse-names":false,"suffix":""}],"container-title":"AACSB Insights","id":"ITEM-1","issued":{"date-parts":[["2021"]]},"title":"Embracing the Complexity of DEI","type":"webpage"},"suppress-author":1,"uris":["http://www.mendeley.com/documents/?uuid=112c5c9a-7993-4be0-8188-790d7e2bab60"]}],"mendeley":{"formattedCitation":"(2021)","plainTextFormattedCitation":"(2021)","previouslyFormattedCitation":"(2021)"},"properties":{"noteIndex":0},"schema":"https://github.com/citation-style-language/schema/raw/master/csl-citation.json"}</w:instrText>
      </w:r>
      <w:r>
        <w:fldChar w:fldCharType="separate"/>
      </w:r>
      <w:r w:rsidRPr="003031A0">
        <w:rPr>
          <w:noProof/>
        </w:rPr>
        <w:t>(2021)</w:t>
      </w:r>
      <w:r>
        <w:fldChar w:fldCharType="end"/>
      </w:r>
      <w:r w:rsidR="00251189">
        <w:t xml:space="preserve"> argue that “</w:t>
      </w:r>
      <w:r w:rsidR="00251189" w:rsidRPr="00251189">
        <w:t>Without universally accepted best practices for increasing and measuring diversity, each institution has been left to its own devices</w:t>
      </w:r>
      <w:r w:rsidR="00251189">
        <w:t xml:space="preserve">.” Consequently, it is debatable that there are individual experiences among organizations that have been successful or not in relation to DEI. </w:t>
      </w:r>
      <w:r w:rsidR="00564B09">
        <w:t>Considering that most dramat</w:t>
      </w:r>
      <w:r w:rsidR="000D68C1">
        <w:t xml:space="preserve">ic </w:t>
      </w:r>
      <w:r w:rsidR="00564B09">
        <w:t>outcomes related to DEI are first identified by organizations</w:t>
      </w:r>
      <w:r>
        <w:t>,</w:t>
      </w:r>
      <w:r w:rsidR="00564B09">
        <w:t xml:space="preserve"> we foresee that </w:t>
      </w:r>
      <w:r w:rsidR="006C6A32">
        <w:t xml:space="preserve">presenting real world situations to the students can expedite </w:t>
      </w:r>
      <w:r w:rsidR="000D68C1">
        <w:t>and improv teaching and learning processes related to DEI</w:t>
      </w:r>
      <w:r w:rsidR="006C6A32">
        <w:t xml:space="preserve">, thus </w:t>
      </w:r>
      <w:r w:rsidR="00564B09">
        <w:t xml:space="preserve">using case studies to teach DEI is </w:t>
      </w:r>
      <w:r w:rsidR="000D68C1">
        <w:t xml:space="preserve">an innovative and exciting </w:t>
      </w:r>
      <w:r w:rsidR="00564B09">
        <w:t xml:space="preserve">pedagogical approach. </w:t>
      </w:r>
    </w:p>
    <w:p w14:paraId="50EA59B7" w14:textId="4F8F3358" w:rsidR="003B6884" w:rsidRDefault="003B6884" w:rsidP="003B6884">
      <w:pPr>
        <w:spacing w:after="0"/>
        <w:ind w:firstLine="720"/>
        <w:rPr>
          <w:rFonts w:eastAsia="Times New Roman" w:cs="Times New Roman"/>
          <w:szCs w:val="24"/>
        </w:rPr>
      </w:pPr>
      <w:r>
        <w:rPr>
          <w:rFonts w:eastAsia="Times New Roman" w:cs="Times New Roman"/>
          <w:szCs w:val="24"/>
        </w:rPr>
        <w:lastRenderedPageBreak/>
        <w:t>Traditional lectu</w:t>
      </w:r>
      <w:r w:rsidR="00730F64">
        <w:rPr>
          <w:rFonts w:eastAsia="Times New Roman" w:cs="Times New Roman"/>
          <w:szCs w:val="24"/>
        </w:rPr>
        <w:t xml:space="preserve">re </w:t>
      </w:r>
      <w:r>
        <w:rPr>
          <w:rFonts w:eastAsia="Times New Roman" w:cs="Times New Roman"/>
          <w:szCs w:val="24"/>
        </w:rPr>
        <w:t xml:space="preserve">approaches can easily </w:t>
      </w:r>
      <w:r w:rsidR="00730F64">
        <w:rPr>
          <w:rFonts w:eastAsia="Times New Roman" w:cs="Times New Roman"/>
          <w:szCs w:val="24"/>
        </w:rPr>
        <w:t xml:space="preserve">explain foundational and </w:t>
      </w:r>
      <w:r>
        <w:rPr>
          <w:rFonts w:eastAsia="Times New Roman" w:cs="Times New Roman"/>
          <w:szCs w:val="24"/>
        </w:rPr>
        <w:t xml:space="preserve">conceptual DEI </w:t>
      </w:r>
      <w:r w:rsidR="00730F64">
        <w:rPr>
          <w:rFonts w:eastAsia="Times New Roman" w:cs="Times New Roman"/>
          <w:szCs w:val="24"/>
        </w:rPr>
        <w:t>principles to students</w:t>
      </w:r>
      <w:r>
        <w:rPr>
          <w:rFonts w:eastAsia="Times New Roman" w:cs="Times New Roman"/>
          <w:szCs w:val="24"/>
        </w:rPr>
        <w:t xml:space="preserve">, but as indicated by </w:t>
      </w:r>
      <w:r w:rsidRPr="00910A1D">
        <w:rPr>
          <w:rFonts w:eastAsia="Times New Roman" w:cs="Times New Roman"/>
          <w:noProof/>
          <w:szCs w:val="24"/>
        </w:rPr>
        <w:t>Freeman &amp; Schiller</w:t>
      </w:r>
      <w:r>
        <w:rPr>
          <w:rFonts w:eastAsia="Times New Roman" w:cs="Times New Roman"/>
          <w:szCs w:val="24"/>
        </w:rPr>
        <w:t xml:space="preserve"> </w:t>
      </w:r>
      <w:r>
        <w:rPr>
          <w:rFonts w:eastAsia="Times New Roman" w:cs="Times New Roman"/>
          <w:szCs w:val="24"/>
        </w:rPr>
        <w:fldChar w:fldCharType="begin" w:fldLock="1"/>
      </w:r>
      <w:r w:rsidR="00EE68FB">
        <w:rPr>
          <w:rFonts w:eastAsia="Times New Roman" w:cs="Times New Roman"/>
          <w:szCs w:val="24"/>
        </w:rPr>
        <w:instrText>ADDIN CSL_CITATION {"citationItems":[{"id":"ITEM-1","itemData":{"abstract":"… indicated that the classroom flip had a positive impact on student learning: Students perceived … Ruddick (2012) described a course redesign project based on the flipped classroom concept for a … video lectures at home and spent class time working on problem- solving activities …","author":[{"dropping-particle":"","family":"Freeman","given":"Clyde","non-dropping-particle":"","parse-names":false,"suffix":""},{"dropping-particle":"","family":"Schiller","given":"Nancy A.","non-dropping-particle":"","parse-names":false,"suffix":""}],"container-title":"Journal of College Science Teaching","id":"ITEM-1","issue":"5","issued":{"date-parts":[["2013"]]},"page":"62-66","title":"Case Studies and the Flipped Classroom","type":"article-journal","volume":"42"},"suppress-author":1,"uris":["http://www.mendeley.com/documents/?uuid=8abf7351-1d3c-4e30-9fcd-c277ce8e54aa"]}],"mendeley":{"formattedCitation":"(2013)","plainTextFormattedCitation":"(2013)","previouslyFormattedCitation":"(2013)"},"properties":{"noteIndex":0},"schema":"https://github.com/citation-style-language/schema/raw/master/csl-citation.json"}</w:instrText>
      </w:r>
      <w:r>
        <w:rPr>
          <w:rFonts w:eastAsia="Times New Roman" w:cs="Times New Roman"/>
          <w:szCs w:val="24"/>
        </w:rPr>
        <w:fldChar w:fldCharType="separate"/>
      </w:r>
      <w:r w:rsidRPr="00910A1D">
        <w:rPr>
          <w:rFonts w:eastAsia="Times New Roman" w:cs="Times New Roman"/>
          <w:noProof/>
          <w:szCs w:val="24"/>
        </w:rPr>
        <w:t>(2013)</w:t>
      </w:r>
      <w:r>
        <w:rPr>
          <w:rFonts w:eastAsia="Times New Roman" w:cs="Times New Roman"/>
          <w:szCs w:val="24"/>
        </w:rPr>
        <w:fldChar w:fldCharType="end"/>
      </w:r>
      <w:r>
        <w:rPr>
          <w:rFonts w:eastAsia="Times New Roman" w:cs="Times New Roman"/>
          <w:szCs w:val="24"/>
        </w:rPr>
        <w:t xml:space="preserve"> case studies </w:t>
      </w:r>
      <w:r w:rsidR="00730F64">
        <w:rPr>
          <w:rFonts w:eastAsia="Times New Roman" w:cs="Times New Roman"/>
          <w:szCs w:val="24"/>
        </w:rPr>
        <w:t>directly benefit student learning through</w:t>
      </w:r>
      <w:r>
        <w:rPr>
          <w:rFonts w:eastAsia="Times New Roman" w:cs="Times New Roman"/>
          <w:szCs w:val="24"/>
        </w:rPr>
        <w:t xml:space="preserve"> </w:t>
      </w:r>
      <w:r w:rsidR="00730F64">
        <w:rPr>
          <w:rFonts w:eastAsia="Times New Roman" w:cs="Times New Roman"/>
          <w:szCs w:val="24"/>
        </w:rPr>
        <w:t>increasing</w:t>
      </w:r>
      <w:r>
        <w:rPr>
          <w:rFonts w:eastAsia="Times New Roman" w:cs="Times New Roman"/>
          <w:szCs w:val="24"/>
        </w:rPr>
        <w:t xml:space="preserve"> students</w:t>
      </w:r>
      <w:r w:rsidR="00730F64">
        <w:rPr>
          <w:rFonts w:eastAsia="Times New Roman" w:cs="Times New Roman"/>
          <w:szCs w:val="24"/>
        </w:rPr>
        <w:t>’</w:t>
      </w:r>
      <w:r>
        <w:rPr>
          <w:rFonts w:eastAsia="Times New Roman" w:cs="Times New Roman"/>
          <w:szCs w:val="24"/>
        </w:rPr>
        <w:t xml:space="preserve"> engagement and </w:t>
      </w:r>
      <w:r w:rsidR="00730F64">
        <w:rPr>
          <w:rFonts w:eastAsia="Times New Roman" w:cs="Times New Roman"/>
          <w:szCs w:val="24"/>
        </w:rPr>
        <w:t>helping them to improve their critical thinking skill and apply them to real word problems.</w:t>
      </w:r>
    </w:p>
    <w:p w14:paraId="2E5709AC" w14:textId="10E339B8" w:rsidR="002A5EC2" w:rsidRPr="00CD0127" w:rsidRDefault="003B6884" w:rsidP="003B6884">
      <w:pPr>
        <w:spacing w:after="0"/>
        <w:ind w:firstLine="720"/>
        <w:rPr>
          <w:rFonts w:eastAsia="Times New Roman" w:cs="Times New Roman"/>
          <w:szCs w:val="24"/>
        </w:rPr>
      </w:pPr>
      <w:r w:rsidRPr="00CD0127">
        <w:rPr>
          <w:rFonts w:eastAsia="Times New Roman" w:cs="Times New Roman"/>
          <w:szCs w:val="24"/>
        </w:rPr>
        <w:t>This</w:t>
      </w:r>
      <w:r w:rsidR="00CE67A0" w:rsidRPr="00CD0127">
        <w:rPr>
          <w:rFonts w:eastAsia="Times New Roman" w:cs="Times New Roman"/>
          <w:szCs w:val="24"/>
        </w:rPr>
        <w:t xml:space="preserve"> </w:t>
      </w:r>
      <w:r w:rsidR="00CD0127" w:rsidRPr="00CD0127">
        <w:rPr>
          <w:rFonts w:eastAsia="Times New Roman" w:cs="Times New Roman"/>
          <w:szCs w:val="24"/>
        </w:rPr>
        <w:t xml:space="preserve">MOBTS </w:t>
      </w:r>
      <w:r w:rsidR="00CE67A0" w:rsidRPr="00CD0127">
        <w:rPr>
          <w:rFonts w:eastAsia="Times New Roman" w:cs="Times New Roman"/>
          <w:szCs w:val="24"/>
        </w:rPr>
        <w:t xml:space="preserve">roundtable is targeted at those </w:t>
      </w:r>
      <w:r w:rsidR="003E2A13">
        <w:rPr>
          <w:rFonts w:eastAsia="Times New Roman" w:cs="Times New Roman"/>
          <w:szCs w:val="24"/>
        </w:rPr>
        <w:t xml:space="preserve">management </w:t>
      </w:r>
      <w:r w:rsidR="00CE67A0" w:rsidRPr="00CD0127">
        <w:rPr>
          <w:rFonts w:eastAsia="Times New Roman" w:cs="Times New Roman"/>
          <w:szCs w:val="24"/>
        </w:rPr>
        <w:t xml:space="preserve">faculty members who are </w:t>
      </w:r>
      <w:r w:rsidR="00564B09">
        <w:rPr>
          <w:rFonts w:eastAsia="Times New Roman" w:cs="Times New Roman"/>
          <w:szCs w:val="24"/>
        </w:rPr>
        <w:t xml:space="preserve">interested </w:t>
      </w:r>
      <w:r w:rsidR="00730F64">
        <w:rPr>
          <w:rFonts w:eastAsia="Times New Roman" w:cs="Times New Roman"/>
          <w:szCs w:val="24"/>
        </w:rPr>
        <w:t>in</w:t>
      </w:r>
      <w:r w:rsidR="00564B09">
        <w:rPr>
          <w:rFonts w:eastAsia="Times New Roman" w:cs="Times New Roman"/>
          <w:szCs w:val="24"/>
        </w:rPr>
        <w:t xml:space="preserve"> using case studies to teach DEI</w:t>
      </w:r>
      <w:r w:rsidR="00730F64">
        <w:rPr>
          <w:rFonts w:eastAsia="Times New Roman" w:cs="Times New Roman"/>
          <w:szCs w:val="24"/>
        </w:rPr>
        <w:t>,</w:t>
      </w:r>
      <w:r w:rsidR="00564B09">
        <w:rPr>
          <w:rFonts w:eastAsia="Times New Roman" w:cs="Times New Roman"/>
          <w:szCs w:val="24"/>
        </w:rPr>
        <w:t xml:space="preserve"> as well as those who </w:t>
      </w:r>
      <w:r w:rsidR="00730F64">
        <w:rPr>
          <w:rFonts w:eastAsia="Times New Roman" w:cs="Times New Roman"/>
          <w:szCs w:val="24"/>
        </w:rPr>
        <w:t xml:space="preserve">may have </w:t>
      </w:r>
      <w:r w:rsidR="00564B09">
        <w:rPr>
          <w:rFonts w:eastAsia="Times New Roman" w:cs="Times New Roman"/>
          <w:szCs w:val="24"/>
        </w:rPr>
        <w:t>already incorporate</w:t>
      </w:r>
      <w:r w:rsidR="00730F64">
        <w:rPr>
          <w:rFonts w:eastAsia="Times New Roman" w:cs="Times New Roman"/>
          <w:szCs w:val="24"/>
        </w:rPr>
        <w:t>d</w:t>
      </w:r>
      <w:r w:rsidR="00564B09">
        <w:rPr>
          <w:rFonts w:eastAsia="Times New Roman" w:cs="Times New Roman"/>
          <w:szCs w:val="24"/>
        </w:rPr>
        <w:t xml:space="preserve"> </w:t>
      </w:r>
      <w:r w:rsidR="00730F64">
        <w:rPr>
          <w:rFonts w:eastAsia="Times New Roman" w:cs="Times New Roman"/>
          <w:szCs w:val="24"/>
        </w:rPr>
        <w:t xml:space="preserve">such </w:t>
      </w:r>
      <w:r w:rsidR="009C03A8">
        <w:rPr>
          <w:rFonts w:eastAsia="Times New Roman" w:cs="Times New Roman"/>
          <w:szCs w:val="24"/>
        </w:rPr>
        <w:t>cases</w:t>
      </w:r>
      <w:r w:rsidR="00564B09">
        <w:rPr>
          <w:rFonts w:eastAsia="Times New Roman" w:cs="Times New Roman"/>
          <w:szCs w:val="24"/>
        </w:rPr>
        <w:t xml:space="preserve"> in the</w:t>
      </w:r>
      <w:r w:rsidR="00730F64">
        <w:rPr>
          <w:rFonts w:eastAsia="Times New Roman" w:cs="Times New Roman"/>
          <w:szCs w:val="24"/>
        </w:rPr>
        <w:t>ir classrooms</w:t>
      </w:r>
      <w:r w:rsidR="00CE67A0" w:rsidRPr="00CD0127">
        <w:rPr>
          <w:rFonts w:eastAsia="Times New Roman" w:cs="Times New Roman"/>
          <w:szCs w:val="24"/>
        </w:rPr>
        <w:t xml:space="preserve">. </w:t>
      </w:r>
      <w:r w:rsidR="002A5EC2" w:rsidRPr="00CD0127">
        <w:rPr>
          <w:rFonts w:eastAsia="Times New Roman" w:cs="Times New Roman"/>
          <w:szCs w:val="24"/>
        </w:rPr>
        <w:t xml:space="preserve">The </w:t>
      </w:r>
      <w:r w:rsidR="00CD0127" w:rsidRPr="00CD0127">
        <w:rPr>
          <w:rFonts w:eastAsia="Times New Roman" w:cs="Times New Roman"/>
          <w:szCs w:val="24"/>
        </w:rPr>
        <w:t>roundtable</w:t>
      </w:r>
      <w:r w:rsidR="002A5EC2" w:rsidRPr="00CD0127">
        <w:rPr>
          <w:rFonts w:eastAsia="Times New Roman" w:cs="Times New Roman"/>
          <w:szCs w:val="24"/>
        </w:rPr>
        <w:t xml:space="preserve"> will provide an opportunity for participants to share information about </w:t>
      </w:r>
      <w:r w:rsidR="00371665">
        <w:rPr>
          <w:rFonts w:eastAsia="Times New Roman" w:cs="Times New Roman"/>
          <w:szCs w:val="24"/>
        </w:rPr>
        <w:t>successful and unsuccessful</w:t>
      </w:r>
      <w:r w:rsidR="00856E18">
        <w:rPr>
          <w:rFonts w:eastAsia="Times New Roman" w:cs="Times New Roman"/>
          <w:szCs w:val="24"/>
        </w:rPr>
        <w:t xml:space="preserve"> </w:t>
      </w:r>
      <w:r w:rsidR="00730F64">
        <w:rPr>
          <w:rFonts w:eastAsia="Times New Roman" w:cs="Times New Roman"/>
          <w:szCs w:val="24"/>
        </w:rPr>
        <w:t xml:space="preserve">approaches to teaching DEI </w:t>
      </w:r>
      <w:r w:rsidR="009C03A8">
        <w:rPr>
          <w:rFonts w:eastAsia="Times New Roman" w:cs="Times New Roman"/>
          <w:szCs w:val="24"/>
        </w:rPr>
        <w:t>cases</w:t>
      </w:r>
      <w:r w:rsidR="00730F64">
        <w:rPr>
          <w:rFonts w:eastAsia="Times New Roman" w:cs="Times New Roman"/>
          <w:szCs w:val="24"/>
        </w:rPr>
        <w:t>.</w:t>
      </w:r>
      <w:r w:rsidR="005237E9">
        <w:rPr>
          <w:rFonts w:eastAsia="Times New Roman" w:cs="Times New Roman"/>
          <w:szCs w:val="24"/>
        </w:rPr>
        <w:t xml:space="preserve"> </w:t>
      </w:r>
      <w:r w:rsidR="002A5EC2" w:rsidRPr="00CD0127">
        <w:rPr>
          <w:rFonts w:eastAsia="Times New Roman" w:cs="Times New Roman"/>
          <w:szCs w:val="24"/>
        </w:rPr>
        <w:t>The following questions will be considered:</w:t>
      </w:r>
    </w:p>
    <w:p w14:paraId="3620D8F9" w14:textId="3A3BCB91" w:rsidR="003E2A13" w:rsidRPr="00CD0127" w:rsidRDefault="009C03A8" w:rsidP="003E2A13">
      <w:pPr>
        <w:pStyle w:val="ListParagraph"/>
        <w:numPr>
          <w:ilvl w:val="0"/>
          <w:numId w:val="3"/>
        </w:numPr>
        <w:spacing w:after="0"/>
        <w:rPr>
          <w:rFonts w:eastAsia="Times New Roman" w:cs="Times New Roman"/>
          <w:szCs w:val="24"/>
        </w:rPr>
      </w:pPr>
      <w:r>
        <w:rPr>
          <w:rFonts w:eastAsia="Times New Roman" w:cs="Times New Roman"/>
          <w:szCs w:val="24"/>
        </w:rPr>
        <w:t xml:space="preserve">What are the DEI dimensions or areas commonly </w:t>
      </w:r>
      <w:r w:rsidR="00730F64">
        <w:rPr>
          <w:rFonts w:eastAsia="Times New Roman" w:cs="Times New Roman"/>
          <w:szCs w:val="24"/>
        </w:rPr>
        <w:t>examined through</w:t>
      </w:r>
      <w:r>
        <w:rPr>
          <w:rFonts w:eastAsia="Times New Roman" w:cs="Times New Roman"/>
          <w:szCs w:val="24"/>
        </w:rPr>
        <w:t xml:space="preserve"> case studies</w:t>
      </w:r>
      <w:r w:rsidR="003E2A13">
        <w:rPr>
          <w:rFonts w:eastAsia="Times New Roman" w:cs="Times New Roman"/>
          <w:szCs w:val="24"/>
        </w:rPr>
        <w:t>?</w:t>
      </w:r>
    </w:p>
    <w:p w14:paraId="0EB434A3" w14:textId="1DA4EA3B" w:rsidR="002A5EC2" w:rsidRPr="00CD0127" w:rsidRDefault="002A5EC2" w:rsidP="00CD0127">
      <w:pPr>
        <w:pStyle w:val="ListParagraph"/>
        <w:numPr>
          <w:ilvl w:val="0"/>
          <w:numId w:val="3"/>
        </w:numPr>
        <w:spacing w:after="0"/>
        <w:rPr>
          <w:rFonts w:eastAsia="Times New Roman" w:cs="Times New Roman"/>
          <w:szCs w:val="24"/>
        </w:rPr>
      </w:pPr>
      <w:r w:rsidRPr="00CD0127">
        <w:rPr>
          <w:rFonts w:eastAsia="Times New Roman" w:cs="Times New Roman"/>
          <w:szCs w:val="24"/>
        </w:rPr>
        <w:t xml:space="preserve">What </w:t>
      </w:r>
      <w:r w:rsidR="00D6732C">
        <w:rPr>
          <w:rFonts w:eastAsia="Times New Roman" w:cs="Times New Roman"/>
          <w:szCs w:val="24"/>
        </w:rPr>
        <w:t xml:space="preserve">are some </w:t>
      </w:r>
      <w:r w:rsidR="005237E9">
        <w:rPr>
          <w:rFonts w:eastAsia="Times New Roman" w:cs="Times New Roman"/>
          <w:szCs w:val="24"/>
        </w:rPr>
        <w:t xml:space="preserve">potential </w:t>
      </w:r>
      <w:r w:rsidR="00730F64">
        <w:rPr>
          <w:rFonts w:eastAsia="Times New Roman" w:cs="Times New Roman"/>
          <w:szCs w:val="24"/>
        </w:rPr>
        <w:t xml:space="preserve">exemplar </w:t>
      </w:r>
      <w:r w:rsidR="00D6732C">
        <w:rPr>
          <w:rFonts w:eastAsia="Times New Roman" w:cs="Times New Roman"/>
          <w:szCs w:val="24"/>
        </w:rPr>
        <w:t xml:space="preserve">case studies </w:t>
      </w:r>
      <w:r w:rsidR="005237E9">
        <w:rPr>
          <w:rFonts w:eastAsia="Times New Roman" w:cs="Times New Roman"/>
          <w:szCs w:val="24"/>
        </w:rPr>
        <w:t xml:space="preserve">that can be </w:t>
      </w:r>
      <w:r w:rsidR="00D6732C">
        <w:rPr>
          <w:rFonts w:eastAsia="Times New Roman" w:cs="Times New Roman"/>
          <w:szCs w:val="24"/>
        </w:rPr>
        <w:t>used to teach DEI</w:t>
      </w:r>
      <w:r w:rsidRPr="00CD0127">
        <w:rPr>
          <w:rFonts w:eastAsia="Times New Roman" w:cs="Times New Roman"/>
          <w:szCs w:val="24"/>
        </w:rPr>
        <w:t>?</w:t>
      </w:r>
    </w:p>
    <w:p w14:paraId="3C8138F9" w14:textId="4C591D85" w:rsidR="002A5EC2" w:rsidRPr="00CD0127" w:rsidRDefault="00D6732C" w:rsidP="00CD0127">
      <w:pPr>
        <w:pStyle w:val="ListParagraph"/>
        <w:numPr>
          <w:ilvl w:val="0"/>
          <w:numId w:val="3"/>
        </w:numPr>
        <w:spacing w:after="0"/>
        <w:rPr>
          <w:rFonts w:eastAsia="Times New Roman" w:cs="Times New Roman"/>
          <w:szCs w:val="24"/>
        </w:rPr>
      </w:pPr>
      <w:r>
        <w:rPr>
          <w:rFonts w:eastAsia="Times New Roman" w:cs="Times New Roman"/>
          <w:szCs w:val="24"/>
        </w:rPr>
        <w:t xml:space="preserve">What </w:t>
      </w:r>
      <w:r w:rsidR="005237E9">
        <w:rPr>
          <w:rFonts w:eastAsia="Times New Roman" w:cs="Times New Roman"/>
          <w:szCs w:val="24"/>
        </w:rPr>
        <w:t xml:space="preserve">types of </w:t>
      </w:r>
      <w:r>
        <w:rPr>
          <w:rFonts w:eastAsia="Times New Roman" w:cs="Times New Roman"/>
          <w:szCs w:val="24"/>
        </w:rPr>
        <w:t xml:space="preserve">positive and negative feedback </w:t>
      </w:r>
      <w:r w:rsidR="005237E9">
        <w:rPr>
          <w:rFonts w:eastAsia="Times New Roman" w:cs="Times New Roman"/>
          <w:szCs w:val="24"/>
        </w:rPr>
        <w:t xml:space="preserve">do </w:t>
      </w:r>
      <w:r>
        <w:rPr>
          <w:rFonts w:eastAsia="Times New Roman" w:cs="Times New Roman"/>
          <w:szCs w:val="24"/>
        </w:rPr>
        <w:t>students provide in</w:t>
      </w:r>
      <w:r w:rsidR="005237E9">
        <w:rPr>
          <w:rFonts w:eastAsia="Times New Roman" w:cs="Times New Roman"/>
          <w:szCs w:val="24"/>
        </w:rPr>
        <w:t xml:space="preserve"> response</w:t>
      </w:r>
      <w:r>
        <w:rPr>
          <w:rFonts w:eastAsia="Times New Roman" w:cs="Times New Roman"/>
          <w:szCs w:val="24"/>
        </w:rPr>
        <w:t xml:space="preserve"> to </w:t>
      </w:r>
      <w:r w:rsidR="005237E9">
        <w:rPr>
          <w:rFonts w:eastAsia="Times New Roman" w:cs="Times New Roman"/>
          <w:szCs w:val="24"/>
        </w:rPr>
        <w:t>learning in course utilizing</w:t>
      </w:r>
      <w:r>
        <w:rPr>
          <w:rFonts w:eastAsia="Times New Roman" w:cs="Times New Roman"/>
          <w:szCs w:val="24"/>
        </w:rPr>
        <w:t xml:space="preserve"> DEI case studies</w:t>
      </w:r>
      <w:r w:rsidR="002A5EC2" w:rsidRPr="00CD0127">
        <w:rPr>
          <w:rFonts w:eastAsia="Times New Roman" w:cs="Times New Roman"/>
          <w:szCs w:val="24"/>
        </w:rPr>
        <w:t>?</w:t>
      </w:r>
    </w:p>
    <w:p w14:paraId="06B43567" w14:textId="3B59BB7D" w:rsidR="00EE503A" w:rsidRDefault="002A5EC2" w:rsidP="00CD0127">
      <w:pPr>
        <w:spacing w:after="0"/>
        <w:ind w:firstLine="720"/>
        <w:rPr>
          <w:rFonts w:eastAsia="Times New Roman" w:cs="Times New Roman"/>
          <w:szCs w:val="24"/>
        </w:rPr>
      </w:pPr>
      <w:r w:rsidRPr="00451D47">
        <w:rPr>
          <w:rFonts w:eastAsia="Times New Roman" w:cs="Times New Roman"/>
          <w:szCs w:val="24"/>
        </w:rPr>
        <w:t xml:space="preserve">The expected outcome of the session is </w:t>
      </w:r>
      <w:r w:rsidR="003E40B0">
        <w:rPr>
          <w:rFonts w:eastAsia="Times New Roman" w:cs="Times New Roman"/>
          <w:szCs w:val="24"/>
        </w:rPr>
        <w:t>to share the discussant and audience experiences and</w:t>
      </w:r>
      <w:r w:rsidR="00824ADB" w:rsidRPr="00451D47">
        <w:rPr>
          <w:rFonts w:eastAsia="Times New Roman" w:cs="Times New Roman"/>
          <w:szCs w:val="24"/>
        </w:rPr>
        <w:t xml:space="preserve"> </w:t>
      </w:r>
      <w:r w:rsidRPr="00451D47">
        <w:rPr>
          <w:rFonts w:eastAsia="Times New Roman" w:cs="Times New Roman"/>
          <w:szCs w:val="24"/>
        </w:rPr>
        <w:t xml:space="preserve">ideas </w:t>
      </w:r>
      <w:r w:rsidR="003E40B0">
        <w:rPr>
          <w:rFonts w:eastAsia="Times New Roman" w:cs="Times New Roman"/>
          <w:szCs w:val="24"/>
        </w:rPr>
        <w:t>in relation to teaching DEI using case studies.</w:t>
      </w:r>
      <w:r w:rsidR="00B776CD" w:rsidRPr="00451D47">
        <w:rPr>
          <w:rFonts w:eastAsia="Times New Roman" w:cs="Times New Roman"/>
          <w:szCs w:val="24"/>
        </w:rPr>
        <w:t xml:space="preserve"> If participants are interested in exploring the topic further, a working group may be formed to consider opportunities for </w:t>
      </w:r>
      <w:r w:rsidR="006C6A32">
        <w:rPr>
          <w:rFonts w:eastAsia="Times New Roman" w:cs="Times New Roman"/>
          <w:szCs w:val="24"/>
        </w:rPr>
        <w:t>creating a set of teaching materials related to the pedagogical approach</w:t>
      </w:r>
      <w:r w:rsidR="00B776CD" w:rsidRPr="00451D47">
        <w:rPr>
          <w:rFonts w:eastAsia="Times New Roman" w:cs="Times New Roman"/>
          <w:szCs w:val="24"/>
        </w:rPr>
        <w:t>.</w:t>
      </w:r>
      <w:r w:rsidR="00A64FE6" w:rsidRPr="00451D47">
        <w:rPr>
          <w:rFonts w:eastAsia="Times New Roman" w:cs="Times New Roman"/>
          <w:szCs w:val="24"/>
        </w:rPr>
        <w:t xml:space="preserve"> </w:t>
      </w:r>
    </w:p>
    <w:p w14:paraId="6D8468D1" w14:textId="68466B9A" w:rsidR="00CE67A0" w:rsidRPr="00CD0127" w:rsidRDefault="00CE67A0" w:rsidP="00CD0127">
      <w:pPr>
        <w:spacing w:after="0"/>
        <w:rPr>
          <w:b/>
          <w:bCs/>
        </w:rPr>
      </w:pPr>
      <w:bookmarkStart w:id="0" w:name="_Hlk63855822"/>
      <w:r w:rsidRPr="00CD0127">
        <w:rPr>
          <w:b/>
          <w:bCs/>
        </w:rPr>
        <w:t>Theoretical Foundations/Teaching Implications</w:t>
      </w:r>
    </w:p>
    <w:p w14:paraId="4850CCE7" w14:textId="7CC2B4A4" w:rsidR="00EE68FB" w:rsidRDefault="00F61235" w:rsidP="00EE68FB">
      <w:pPr>
        <w:spacing w:after="0"/>
        <w:ind w:firstLine="720"/>
      </w:pPr>
      <w:r>
        <w:t>Diversity</w:t>
      </w:r>
      <w:r w:rsidR="00DC2648">
        <w:t xml:space="preserve">, Equity and Inclusion or DEI as </w:t>
      </w:r>
      <w:r w:rsidR="00EE68FB">
        <w:t xml:space="preserve">it </w:t>
      </w:r>
      <w:r w:rsidR="00DC2648">
        <w:t xml:space="preserve">is </w:t>
      </w:r>
      <w:r w:rsidR="00446994">
        <w:t>known</w:t>
      </w:r>
      <w:r w:rsidR="00DC2648">
        <w:t xml:space="preserve"> in the </w:t>
      </w:r>
      <w:r w:rsidR="00446994">
        <w:t>practitioner’s</w:t>
      </w:r>
      <w:r w:rsidR="00DC2648">
        <w:t xml:space="preserve"> world, although is used </w:t>
      </w:r>
      <w:r w:rsidR="00446994">
        <w:t>as</w:t>
      </w:r>
      <w:r w:rsidR="00DC2648">
        <w:t xml:space="preserve"> an amalgam of elements, each part clearly address issues that tend to overlap</w:t>
      </w:r>
      <w:r w:rsidR="00EE68FB">
        <w:t xml:space="preserve"> with each other</w:t>
      </w:r>
      <w:r w:rsidR="00DC2648">
        <w:t xml:space="preserve">. </w:t>
      </w:r>
      <w:r w:rsidR="00446994">
        <w:t>For instance, early concepts of</w:t>
      </w:r>
      <w:r w:rsidR="00154059">
        <w:t xml:space="preserve"> d</w:t>
      </w:r>
      <w:r w:rsidR="00446994">
        <w:t xml:space="preserve">iversity focused attention on the observables or not differences among individuals </w:t>
      </w:r>
      <w:r w:rsidR="00EE68FB">
        <w:fldChar w:fldCharType="begin" w:fldLock="1"/>
      </w:r>
      <w:r w:rsidR="00B82965">
        <w:instrText>ADDIN CSL_CITATION {"citationItems":[{"id":"ITEM-1","itemData":{"author":[{"dropping-particle":"","family":"Fullerton","given":"Johanna","non-dropping-particle":"","parse-names":false,"suffix":""},{"dropping-particle":"","family":"Kandola","given":"R.S.","non-dropping-particle":"","parse-names":false,"suffix":""}],"id":"ITEM-1","issued":{"date-parts":[["1994"]]},"publisher":"Institute of Personnel and Development","publisher-place":"London","title":"Managing the mosaic: Diversity in action","type":"book"},"uris":["http://www.mendeley.com/documents/?uuid=9c59e59c-1fe5-4e1e-a114-f051b09d1abc"]}],"mendeley":{"formattedCitation":"(Fullerton &amp; Kandola, 1994)","plainTextFormattedCitation":"(Fullerton &amp; Kandola, 1994)","previouslyFormattedCitation":"(Fullerton &amp; Kandola, 1994)"},"properties":{"noteIndex":0},"schema":"https://github.com/citation-style-language/schema/raw/master/csl-citation.json"}</w:instrText>
      </w:r>
      <w:r w:rsidR="00EE68FB">
        <w:fldChar w:fldCharType="separate"/>
      </w:r>
      <w:r w:rsidR="00EE68FB" w:rsidRPr="00EE68FB">
        <w:rPr>
          <w:noProof/>
        </w:rPr>
        <w:t>(Fullerton &amp; Kandola, 1994)</w:t>
      </w:r>
      <w:r w:rsidR="00EE68FB">
        <w:fldChar w:fldCharType="end"/>
      </w:r>
      <w:r w:rsidR="00EE68FB">
        <w:t>. For instance, these differences could be</w:t>
      </w:r>
      <w:r w:rsidR="00EE68FB" w:rsidRPr="00EE68FB">
        <w:t xml:space="preserve"> </w:t>
      </w:r>
      <w:r w:rsidR="00EE68FB">
        <w:t>age, gender, personality, religion, race.</w:t>
      </w:r>
      <w:r w:rsidR="00B82965">
        <w:t xml:space="preserve"> In the case of equity it relates to the perception of fair </w:t>
      </w:r>
      <w:r w:rsidR="00B82965">
        <w:lastRenderedPageBreak/>
        <w:t xml:space="preserve">treatment employees may feel in their workplace </w:t>
      </w:r>
      <w:r w:rsidR="00B82965">
        <w:fldChar w:fldCharType="begin" w:fldLock="1"/>
      </w:r>
      <w:r w:rsidR="00154059">
        <w:instrText>ADDIN CSL_CITATION {"citationItems":[{"id":"ITEM-1","itemData":{"DOI":"doi:10.7591/9781501722387","ISBN":"9781501722387","author":[{"dropping-particle":"","family":"Budd","given":"John W","non-dropping-particle":"","parse-names":false,"suffix":""}],"id":"ITEM-1","issued":{"date-parts":[["2018"]]},"publisher":"Cornell University Press","title":"Employment with a Human Face: Balancing Efficiency, Equity, and Voice","type":"book"},"uris":["http://www.mendeley.com/documents/?uuid=b2db3baa-de17-4a9b-b3e7-9dcbb01b4790"]}],"mendeley":{"formattedCitation":"(Budd, 2018)","plainTextFormattedCitation":"(Budd, 2018)","previouslyFormattedCitation":"(Budd, 2018)"},"properties":{"noteIndex":0},"schema":"https://github.com/citation-style-language/schema/raw/master/csl-citation.json"}</w:instrText>
      </w:r>
      <w:r w:rsidR="00B82965">
        <w:fldChar w:fldCharType="separate"/>
      </w:r>
      <w:r w:rsidR="00B82965" w:rsidRPr="00B82965">
        <w:rPr>
          <w:noProof/>
        </w:rPr>
        <w:t>(Budd, 2018)</w:t>
      </w:r>
      <w:r w:rsidR="00B82965">
        <w:fldChar w:fldCharType="end"/>
      </w:r>
      <w:r w:rsidR="00B82965">
        <w:t xml:space="preserve">. This sense of fairness connects with those differences among individuals mentioned before. Thus, when a group of </w:t>
      </w:r>
      <w:r w:rsidR="00154059">
        <w:t>people</w:t>
      </w:r>
      <w:r w:rsidR="00B82965">
        <w:t xml:space="preserve"> </w:t>
      </w:r>
      <w:r w:rsidR="00154059">
        <w:t>may</w:t>
      </w:r>
      <w:r w:rsidR="00B82965">
        <w:t xml:space="preserve"> have </w:t>
      </w:r>
      <w:r w:rsidR="00154059">
        <w:t>differences</w:t>
      </w:r>
      <w:r w:rsidR="00B82965">
        <w:t xml:space="preserve"> </w:t>
      </w:r>
      <w:r w:rsidR="00154059">
        <w:t xml:space="preserve">that limit their access to opportunities, under the concept of equity the ideal is to offset those differences by giving depending on each personal need. Lastly, </w:t>
      </w:r>
      <w:r w:rsidR="00154059" w:rsidRPr="00154059">
        <w:rPr>
          <w:noProof/>
        </w:rPr>
        <w:t>Pelled et al.</w:t>
      </w:r>
      <w:r w:rsidR="00154059">
        <w:t xml:space="preserve"> </w:t>
      </w:r>
      <w:r w:rsidR="00154059">
        <w:fldChar w:fldCharType="begin" w:fldLock="1"/>
      </w:r>
      <w:r w:rsidR="00F2602C">
        <w:instrText>ADDIN CSL_CITATION {"citationItems":[{"id":"ITEM-1","itemData":{"DOI":"10.1111/1467-6486.00168","ISSN":"00222380","abstract":"This study examined the relationship between individual demographic dissimilarity from co-workers and three indicators of inclusion by an organization: decision-making influence, access to sensitive information, and job security. Data from 345 individuals in eight work units showed that individual dissimilarity in race and gender were negatively associated with inclusion, and the effect of race dissimilarity was more pronounced for whites than for non-whites. In contrast, individual dissimilarity in tenure and education level were positively associated with inclusion, and these effects were more pronounced for those with greater tenure and greater education, respectively. Overall, the results suggest that whether being different hinders or helps organizational inclusion may depend on whether that difference is visible and whether it reflects job expertise. Further, they suggest that, when being different is a hindrance, it may be hardest on those who have traditionally been the majority in organizations.","author":[{"dropping-particle":"","family":"Pelled","given":"Lisa Hope","non-dropping-particle":"","parse-names":false,"suffix":""},{"dropping-particle":"","family":"Ledford","given":"Gerald E.","non-dropping-particle":"","parse-names":false,"suffix":""},{"dropping-particle":"","family":"Mohrman","given":"Susan Albers","non-dropping-particle":"","parse-names":false,"suffix":""}],"container-title":"Journal of Management Studies","id":"ITEM-1","issue":"7","issued":{"date-parts":[["1999"]]},"page":"1013-1031","title":"Demographic dissimilarity and workplace inclusion","type":"article-journal","volume":"36"},"suppress-author":1,"uris":["http://www.mendeley.com/documents/?uuid=97e79afc-4dd0-4636-8579-698310bf01b0"]}],"mendeley":{"formattedCitation":"(1999)","plainTextFormattedCitation":"(1999)","previouslyFormattedCitation":"(1999)"},"properties":{"noteIndex":0},"schema":"https://github.com/citation-style-language/schema/raw/master/csl-citation.json"}</w:instrText>
      </w:r>
      <w:r w:rsidR="00154059">
        <w:fldChar w:fldCharType="separate"/>
      </w:r>
      <w:r w:rsidR="00154059" w:rsidRPr="00154059">
        <w:rPr>
          <w:noProof/>
        </w:rPr>
        <w:t>(1999)</w:t>
      </w:r>
      <w:r w:rsidR="00154059">
        <w:fldChar w:fldCharType="end"/>
      </w:r>
      <w:r w:rsidR="00154059">
        <w:t xml:space="preserve"> </w:t>
      </w:r>
      <w:r w:rsidR="00F837D5">
        <w:t>define inclusion as “</w:t>
      </w:r>
      <w:r w:rsidR="00F837D5" w:rsidRPr="00F837D5">
        <w:t>the degree to which an employee is accepted and treated as an insider</w:t>
      </w:r>
      <w:r w:rsidR="00F837D5">
        <w:t xml:space="preserve"> </w:t>
      </w:r>
      <w:r w:rsidR="00F837D5" w:rsidRPr="00F837D5">
        <w:t>by others in a work system</w:t>
      </w:r>
      <w:r w:rsidR="00F837D5">
        <w:t xml:space="preserve">”. This inclusion </w:t>
      </w:r>
      <w:r w:rsidR="005237E9">
        <w:t xml:space="preserve">concept, although not directly mentioned, </w:t>
      </w:r>
      <w:r w:rsidR="00F837D5">
        <w:t>assumes that there are no differences among individuals, but as indicated</w:t>
      </w:r>
      <w:r w:rsidR="006302E7">
        <w:t xml:space="preserve"> previously,</w:t>
      </w:r>
      <w:r w:rsidR="00F837D5">
        <w:t xml:space="preserve"> these </w:t>
      </w:r>
      <w:r w:rsidR="006302E7">
        <w:t xml:space="preserve">individual differences </w:t>
      </w:r>
      <w:r w:rsidR="00F837D5">
        <w:t xml:space="preserve">are </w:t>
      </w:r>
      <w:r w:rsidR="007450DD">
        <w:t xml:space="preserve">to be </w:t>
      </w:r>
      <w:r w:rsidR="00F837D5">
        <w:t>expected. Therefore, creating conditions to minimiz</w:t>
      </w:r>
      <w:r w:rsidR="006302E7">
        <w:t>e</w:t>
      </w:r>
      <w:r w:rsidR="00F837D5">
        <w:t xml:space="preserve"> these differences through equity </w:t>
      </w:r>
      <w:r w:rsidR="006302E7">
        <w:t xml:space="preserve">and affinity </w:t>
      </w:r>
      <w:r w:rsidR="00F837D5">
        <w:t xml:space="preserve">groups </w:t>
      </w:r>
      <w:r w:rsidR="006302E7">
        <w:t xml:space="preserve">within </w:t>
      </w:r>
      <w:r w:rsidR="00F837D5">
        <w:t xml:space="preserve">organizations can </w:t>
      </w:r>
      <w:r w:rsidR="006302E7">
        <w:t>allow for more constructive DEI practices to become normalized and accepted in both public and private sectors.</w:t>
      </w:r>
    </w:p>
    <w:p w14:paraId="4B004544" w14:textId="2E97CE41" w:rsidR="006302E7" w:rsidRDefault="00154059" w:rsidP="009D5CAB">
      <w:pPr>
        <w:spacing w:after="0"/>
        <w:ind w:firstLine="720"/>
      </w:pPr>
      <w:r>
        <w:t>In our opinion</w:t>
      </w:r>
      <w:r w:rsidR="006302E7">
        <w:t>,</w:t>
      </w:r>
      <w:r>
        <w:t xml:space="preserve"> DEI in the workplace can be define as the approaches taken in the workplace to normalize and accept the differences among contributors or participants, providing </w:t>
      </w:r>
      <w:r w:rsidR="006302E7">
        <w:t xml:space="preserve">a </w:t>
      </w:r>
      <w:r>
        <w:t xml:space="preserve">mechanism that all individuals feel they have same opportunities while creating </w:t>
      </w:r>
      <w:proofErr w:type="spellStart"/>
      <w:r>
        <w:t>and</w:t>
      </w:r>
      <w:proofErr w:type="spellEnd"/>
      <w:r>
        <w:t xml:space="preserve"> environment that invites individuals with or without differences, making them feel part of it regardless of.  </w:t>
      </w:r>
      <w:bookmarkEnd w:id="0"/>
    </w:p>
    <w:p w14:paraId="2E957A28" w14:textId="34CE5C62" w:rsidR="00C12019" w:rsidRDefault="00C16EBF" w:rsidP="00C16EBF">
      <w:pPr>
        <w:spacing w:after="0"/>
        <w:ind w:firstLine="720"/>
      </w:pPr>
      <w:r w:rsidRPr="00C16EBF">
        <w:t>DEI can be easily explained using social, ethical, and moral conventionalisms. Still, in many instances, these approaches tend to focus on theoretical argumentation based on the “because is the right thing to do.” Recognizing the lack of DEI may come to the students through the concept and theory interpretations. Or simply by perceiving it. Although, as scholars, we support theoretical learning</w:t>
      </w:r>
      <w:proofErr w:type="gramStart"/>
      <w:r w:rsidRPr="00C16EBF">
        <w:t>, as business educators, our roles</w:t>
      </w:r>
      <w:proofErr w:type="gramEnd"/>
      <w:r w:rsidRPr="00C16EBF">
        <w:t xml:space="preserve"> include preparing our students to solve problems in their future jobs. Understanding business issues is often an issue of recognizing patterns</w:t>
      </w:r>
      <w:r w:rsidR="00C12019">
        <w:t xml:space="preserve"> </w:t>
      </w:r>
      <w:r w:rsidR="00C12019">
        <w:fldChar w:fldCharType="begin" w:fldLock="1"/>
      </w:r>
      <w:r w:rsidR="00F2602C">
        <w:instrText>ADDIN CSL_CITATION {"citationItems":[{"id":"ITEM-1","itemData":{"ISSN":"00178012","PMID":"12964394","abstract":"Theory often gets a bum rap among managers because it's associated with the word \"theoretical,\" which connotes \"impractical.\" But it shouldn't. Because experience is solely about the past, solid theories are the only way managers can plan future actions with any degree of confidence. The key word here is \"solid.\" Gravity is a solid theory. As such, it lets us predict that if we step off a cliff we will fall, without actually having to do so. But business literature is replete with theories that don't seem to work in practice or actually contradict each other. How can a manager tell a good business theory from a bad one? The first step is understanding how good theories are built They develop in three stages: gathering data, organizing it into categories highlighting significant differences, then making generalizations explaining what causes what, under which circumstances. For instance, professor Ananth Raman and his colleagues collected data showing that bar code - scanning systems generated notoriously inaccurate inventory records. These observations led them to classify the types of errors the scanning systems produced and the types of shops in which those errors most often occurred. Recently, some of Raman's doctoral students have worked as clerks to see exactly what kinds of behavior cause the errors. From this foundation, a solid theory predicting under which circumstances bar code systems work, and don't work, is beginning to emerge. Once we forgo one-size-fits-all explanations and insist that a theory describes the circumstances under which it does and doesn't work, we can bring predictable success to the world of management.","author":[{"dropping-particle":"","family":"Christensen","given":"Clayton M.","non-dropping-particle":"","parse-names":false,"suffix":""},{"dropping-particle":"","family":"Raynor","given":"Michael E.","non-dropping-particle":"","parse-names":false,"suffix":""}],"container-title":"Harvard Business Review","id":"ITEM-1","issue":"9","issued":{"date-parts":[["2003"]]},"title":"Why Hard-Nosed Executives Should Care About Management Theory","type":"article-journal","volume":"81"},"uris":["http://www.mendeley.com/documents/?uuid=a47fc52b-d57d-46af-9e93-e66dd7ebb1a6","http://www.mendeley.com/documents/?uuid=a57cb02b-fc32-4ad3-bf5b-1cbb57e8cb75"]}],"mendeley":{"formattedCitation":"(Christensen &amp; Raynor, 2003)","plainTextFormattedCitation":"(Christensen &amp; Raynor, 2003)","previouslyFormattedCitation":"(Christensen &amp; Raynor, 2003)"},"properties":{"noteIndex":0},"schema":"https://github.com/citation-style-language/schema/raw/master/csl-citation.json"}</w:instrText>
      </w:r>
      <w:r w:rsidR="00C12019">
        <w:fldChar w:fldCharType="separate"/>
      </w:r>
      <w:r w:rsidR="00C12019" w:rsidRPr="00313DAF">
        <w:rPr>
          <w:noProof/>
        </w:rPr>
        <w:t>(Christensen &amp; Raynor, 2003)</w:t>
      </w:r>
      <w:r w:rsidR="00C12019">
        <w:fldChar w:fldCharType="end"/>
      </w:r>
      <w:r w:rsidR="00C12019">
        <w:t xml:space="preserve">. </w:t>
      </w:r>
      <w:r w:rsidR="00FC462A" w:rsidRPr="00FC462A">
        <w:t xml:space="preserve">Students sometimes may have limited </w:t>
      </w:r>
      <w:r w:rsidR="00FC462A" w:rsidRPr="00FC462A">
        <w:lastRenderedPageBreak/>
        <w:t>exposure to business and workplace situations to recognize these patterns. In these instances, it is when other pedagogical approaches beyond traditional lecturing.</w:t>
      </w:r>
    </w:p>
    <w:p w14:paraId="377C2B58" w14:textId="15264E1A" w:rsidR="00C12019" w:rsidRDefault="00682645" w:rsidP="00C12019">
      <w:pPr>
        <w:spacing w:after="0"/>
        <w:ind w:firstLine="720"/>
      </w:pPr>
      <w:r w:rsidRPr="00682645">
        <w:t>Teaching with cases, also known as a case method, provides a narrative</w:t>
      </w:r>
      <w:r>
        <w:t xml:space="preserve"> </w:t>
      </w:r>
      <w:r w:rsidR="00C12019">
        <w:fldChar w:fldCharType="begin" w:fldLock="1"/>
      </w:r>
      <w:r w:rsidR="00F2602C">
        <w:instrText>ADDIN CSL_CITATION {"citationItems":[{"id":"ITEM-1","itemData":{"DOI":"10.35295/OSLS.IISL/0000-0000-0000-1149","ISSN":"20795971","abstract":"This article interrogates the concept of a “case” in court, in an effort to clarify underlying concerns in debates over whether there is “too much” or “too little” litigation. One perspective on litigation takes a bottom-up view, examining the considerations and motives of disputing parties who file civil claims. This perspective includes theories about litigation and social structure, economics, dispute transformation, political participation, and psychology. An alternative top-down view examines litigation from the perspective of government, including its interest in dispute resolution, social control, and institutional capacities of courts. The article reviews and critiques existing literature on these perspectives and concludes with the importance of integrating them.","author":[{"dropping-particle":"","family":"Freeman","given":"Clyde","non-dropping-particle":"","parse-names":false,"suffix":""}],"container-title":"Journal of College Science Teaching","id":"ITEM-1","issue":"2","issued":{"date-parts":[["1997"]]},"page":"354-377","title":"What is a “case”?","type":"article-journal","volume":"27"},"uris":["http://www.mendeley.com/documents/?uuid=8d837fec-ef52-4699-8594-7e75739a0b75","http://www.mendeley.com/documents/?uuid=7646279d-cb8f-4ad6-a159-507a0bf4739a"]}],"mendeley":{"formattedCitation":"(Freeman, 1997)","plainTextFormattedCitation":"(Freeman, 1997)","previouslyFormattedCitation":"(Freeman, 1997)"},"properties":{"noteIndex":0},"schema":"https://github.com/citation-style-language/schema/raw/master/csl-citation.json"}</w:instrText>
      </w:r>
      <w:r w:rsidR="00C12019">
        <w:fldChar w:fldCharType="separate"/>
      </w:r>
      <w:r w:rsidR="00C12019" w:rsidRPr="002B00D5">
        <w:rPr>
          <w:noProof/>
        </w:rPr>
        <w:t>(Freeman, 1997)</w:t>
      </w:r>
      <w:r w:rsidR="00C12019">
        <w:fldChar w:fldCharType="end"/>
      </w:r>
      <w:r w:rsidR="00C12019">
        <w:t xml:space="preserve"> </w:t>
      </w:r>
      <w:r w:rsidR="00682EFC" w:rsidRPr="00682EFC">
        <w:t xml:space="preserve">and information battery. Its interpretation may force decision-making from those who have analyzed. Usually, these narratives are associated with situations in which problems are raised in a context, organization, or group. The solutions to these complications are nested in the narrative. It depends on the analysis unveiling these. Reviewing and analyzing multiple cases may allow students to acquire the experience to recognize the patterns </w:t>
      </w:r>
      <w:r w:rsidR="00C12019">
        <w:fldChar w:fldCharType="begin" w:fldLock="1"/>
      </w:r>
      <w:r w:rsidR="00F2602C">
        <w:instrText>ADDIN CSL_CITATION {"citationItems":[{"id":"ITEM-1","itemData":{"author":[{"dropping-particle":"","family":"Andersen","given":"Espen","non-dropping-particle":"","parse-names":false,"suffix":""},{"dropping-particle":"","family":"Schiano","given":"Bill","non-dropping-particle":"","parse-names":false,"suffix":""}],"id":"ITEM-1","issued":{"date-parts":[["2014"]]},"number-of-pages":"294","publisher":"Harvard Buisness Publishing","publisher-place":"Boston","title":"Teaching with cases","type":"book"},"uris":["http://www.mendeley.com/documents/?uuid=06664802-2658-430f-9cb7-39e8f622ee0e","http://www.mendeley.com/documents/?uuid=52227b40-c60e-4af8-acdb-53936938b0b6"]}],"mendeley":{"formattedCitation":"(Andersen &amp; Schiano, 2014)","plainTextFormattedCitation":"(Andersen &amp; Schiano, 2014)","previouslyFormattedCitation":"(Andersen &amp; Schiano, 2014)"},"properties":{"noteIndex":0},"schema":"https://github.com/citation-style-language/schema/raw/master/csl-citation.json"}</w:instrText>
      </w:r>
      <w:r w:rsidR="00C12019">
        <w:fldChar w:fldCharType="separate"/>
      </w:r>
      <w:r w:rsidR="00C12019" w:rsidRPr="001816E8">
        <w:rPr>
          <w:noProof/>
        </w:rPr>
        <w:t>(Andersen &amp; Schiano, 2014)</w:t>
      </w:r>
      <w:r w:rsidR="00C12019">
        <w:fldChar w:fldCharType="end"/>
      </w:r>
      <w:r w:rsidR="00682EFC">
        <w:t>.</w:t>
      </w:r>
      <w:r w:rsidR="00C12019">
        <w:t xml:space="preserve"> </w:t>
      </w:r>
      <w:r w:rsidR="00682EFC" w:rsidRPr="00682EFC">
        <w:t>Ultimately preparing them to solve similar problems in their future jobs</w:t>
      </w:r>
      <w:r w:rsidR="00C12019">
        <w:t xml:space="preserve">. </w:t>
      </w:r>
    </w:p>
    <w:p w14:paraId="3197AE81" w14:textId="60B6F59A" w:rsidR="00C12019" w:rsidRDefault="00503E9B" w:rsidP="00C12019">
      <w:pPr>
        <w:spacing w:after="0"/>
        <w:ind w:firstLine="720"/>
      </w:pPr>
      <w:r w:rsidRPr="00503E9B">
        <w:t xml:space="preserve">There are several cases available to be used when teaching. However, we identified two large groups, teaching cases and case study research. Teaching cases usually fit the description presented in the paragraph above. In simple words, a narrative with information, and in some cases, a prompt, that students must solve with the information provided. This category is commonly used in teaching with cases </w:t>
      </w:r>
      <w:r w:rsidR="00C12019">
        <w:fldChar w:fldCharType="begin" w:fldLock="1"/>
      </w:r>
      <w:r w:rsidR="00F2602C">
        <w:instrText>ADDIN CSL_CITATION {"citationItems":[{"id":"ITEM-1","itemData":{"author":[{"dropping-particle":"","family":"Andersen","given":"Espen","non-dropping-particle":"","parse-names":false,"suffix":""},{"dropping-particle":"","family":"Schiano","given":"Bill","non-dropping-particle":"","parse-names":false,"suffix":""}],"id":"ITEM-1","issued":{"date-parts":[["2014"]]},"number-of-pages":"294","publisher":"Harvard Buisness Publishing","publisher-place":"Boston","title":"Teaching with cases","type":"book"},"uris":["http://www.mendeley.com/documents/?uuid=52227b40-c60e-4af8-acdb-53936938b0b6","http://www.mendeley.com/documents/?uuid=06664802-2658-430f-9cb7-39e8f622ee0e"]}],"mendeley":{"formattedCitation":"(Andersen &amp; Schiano, 2014)","plainTextFormattedCitation":"(Andersen &amp; Schiano, 2014)","previouslyFormattedCitation":"(Andersen &amp; Schiano, 2014)"},"properties":{"noteIndex":0},"schema":"https://github.com/citation-style-language/schema/raw/master/csl-citation.json"}</w:instrText>
      </w:r>
      <w:r w:rsidR="00C12019">
        <w:fldChar w:fldCharType="separate"/>
      </w:r>
      <w:r w:rsidR="00C12019" w:rsidRPr="0049709E">
        <w:rPr>
          <w:noProof/>
        </w:rPr>
        <w:t>(Andersen &amp; Schiano, 2014)</w:t>
      </w:r>
      <w:r w:rsidR="00C12019">
        <w:fldChar w:fldCharType="end"/>
      </w:r>
      <w:r w:rsidR="00C12019">
        <w:t xml:space="preserve">, </w:t>
      </w:r>
      <w:r w:rsidR="001E1563" w:rsidRPr="001E1563">
        <w:t>and are the cases that Ivey Publishing, Harvard Business Publishing, INSEAD Publishing, and many others offer. These groups tend to provide the case's prompt, teaching notes, and instructions to instructors.</w:t>
      </w:r>
    </w:p>
    <w:p w14:paraId="055F1184" w14:textId="0E137C91" w:rsidR="00DE6D24" w:rsidRDefault="00B644CD" w:rsidP="00DE6D24">
      <w:pPr>
        <w:spacing w:after="0"/>
        <w:ind w:firstLine="720"/>
      </w:pPr>
      <w:r w:rsidRPr="00B644CD">
        <w:t>The second group research cases are papers that follow the traditional research case format</w:t>
      </w:r>
      <w:r>
        <w:t xml:space="preserve"> </w:t>
      </w:r>
      <w:r w:rsidR="00C12019">
        <w:fldChar w:fldCharType="begin" w:fldLock="1"/>
      </w:r>
      <w:r w:rsidR="00F2602C">
        <w:instrText>ADDIN CSL_CITATION {"citationItems":[{"id":"ITEM-1","itemData":{"ISBN":"9781506336169","author":[{"dropping-particle":"","family":"Yin","given":"Robert K.","non-dropping-particle":"","parse-names":false,"suffix":""}],"edition":"6th Editio","id":"ITEM-1","issued":{"date-parts":[["2018"]]},"number-of-pages":"1-319","publisher":"SAGE Publications Inc","publisher-place":"Thousand Oaks, California","title":"Case Study Research and Applications Design and Methods","type":"book"},"uris":["http://www.mendeley.com/documents/?uuid=edba70d5-2c0d-4d7d-a564-40c24011ee85"]},{"id":"ITEM-2","itemData":{"ISBN":"9781446274163","author":[{"dropping-particle":"","family":"Lee","given":"Bill","non-dropping-particle":"","parse-names":false,"suffix":""},{"dropping-particle":"","family":"Saunders","given":"Mark N.K.","non-dropping-particle":"","parse-names":false,"suffix":""}],"id":"ITEM-2","issued":{"date-parts":[["2017"]]},"number-of-pages":"1-118","publisher":"SAGE Publications Inc","publisher-place":"Thousand Oaks, California","title":"Conducting Case Study Reasearch for Business and Management Students","type":"book"},"uris":["http://www.mendeley.com/documents/?uuid=39cc7014-6bee-4c0d-bcb9-f624925e2ac8"]},{"id":"ITEM-3","itemData":{"ISBN":"978-0803957671","author":[{"dropping-particle":"","family":"Stake","given":"Robert","non-dropping-particle":"","parse-names":false,"suffix":""}],"id":"ITEM-3","issued":{"date-parts":[["1995"]]},"number-of-pages":"1-175","publisher":"Sage Publications Sage CA: Thousand Oaks, CA","publisher-place":"Thousand Oaks, CA","title":"The Art of Case Study Research","type":"book"},"uris":["http://www.mendeley.com/documents/?uuid=741d883f-17e2-4641-a82d-dc709cbb76c6"]},{"id":"ITEM-4","itemData":{"ISBN":"9781849207768","author":[{"dropping-particle":"","family":"Farquhar","given":"Jillian D.","non-dropping-particle":"","parse-names":false,"suffix":""}],"id":"ITEM-4","issued":{"date-parts":[["2012"]]},"number-of-pages":"1-134","publisher":"Sage Publications Sage CA: Thousand Oaks, CA","publisher-place":"Thousand Oaks, CA","title":"Case Study Reasearch for Business","type":"book"},"uris":["http://www.mendeley.com/documents/?uuid=e35d2954-5f31-4b51-8518-12505c2ad4ed"]}],"mendeley":{"formattedCitation":"(Farquhar, 2012; Lee &amp; Saunders, 2017; Stake, 1995; Yin, 2018)","plainTextFormattedCitation":"(Farquhar, 2012; Lee &amp; Saunders, 2017; Stake, 1995; Yin, 2018)","previouslyFormattedCitation":"(Farquhar, 2012; Lee &amp; Saunders, 2017; Stake, 1995; Yin, 2018)"},"properties":{"noteIndex":0},"schema":"https://github.com/citation-style-language/schema/raw/master/csl-citation.json"}</w:instrText>
      </w:r>
      <w:r w:rsidR="00C12019">
        <w:fldChar w:fldCharType="separate"/>
      </w:r>
      <w:r w:rsidR="00C12019" w:rsidRPr="0049709E">
        <w:rPr>
          <w:noProof/>
        </w:rPr>
        <w:t>(Farquhar, 2012; Lee &amp; Saunders, 2017; Stake, 1995; Yin, 2018)</w:t>
      </w:r>
      <w:r w:rsidR="00C12019">
        <w:fldChar w:fldCharType="end"/>
      </w:r>
      <w:r w:rsidR="00C12019">
        <w:t xml:space="preserve"> </w:t>
      </w:r>
      <w:r w:rsidR="00DE6D24">
        <w:t>or research articles focusing on a phenomenon or situation with a defined population test the hypothesis. This latter is the group that in their titles says things like "... the case of …" Although these are designed as research pieces, these papers can use them in the pedagogical process. This group requires a higher commitment and work on the instructors because they will have to create and define the case's prompt.</w:t>
      </w:r>
    </w:p>
    <w:p w14:paraId="77E15A17" w14:textId="5E3AD72F" w:rsidR="00C12019" w:rsidRDefault="00DE6D24" w:rsidP="00DE6D24">
      <w:pPr>
        <w:spacing w:after="0"/>
        <w:ind w:firstLine="720"/>
      </w:pPr>
      <w:r>
        <w:lastRenderedPageBreak/>
        <w:t>Both groups of cases can exemplify either context and condition, and in some others, link variables that may have a certain impact on the outcome and the hypothesis that these may try to support.</w:t>
      </w:r>
      <w:r w:rsidR="00351FF8">
        <w:t xml:space="preserve"> </w:t>
      </w:r>
    </w:p>
    <w:p w14:paraId="10D0594D" w14:textId="39A26C20" w:rsidR="00220AD8" w:rsidRDefault="00A60D4C" w:rsidP="009D5CAB">
      <w:pPr>
        <w:spacing w:after="0"/>
        <w:ind w:firstLine="720"/>
      </w:pPr>
      <w:r>
        <w:t xml:space="preserve">Seeing that there is a clear proxy between DEI issues and case studies, </w:t>
      </w:r>
      <w:r w:rsidR="00C00446">
        <w:t xml:space="preserve">we consider that a </w:t>
      </w:r>
      <w:r w:rsidR="004A2760">
        <w:t xml:space="preserve">round table </w:t>
      </w:r>
      <w:r w:rsidR="00C00446">
        <w:t xml:space="preserve">session that help instructors to use </w:t>
      </w:r>
      <w:r w:rsidR="004A2760">
        <w:t>cases as pedagogical approach</w:t>
      </w:r>
      <w:r>
        <w:t>,</w:t>
      </w:r>
      <w:r w:rsidR="004A2760">
        <w:t xml:space="preserve"> </w:t>
      </w:r>
      <w:r>
        <w:t>will</w:t>
      </w:r>
      <w:r w:rsidR="004A2760">
        <w:t xml:space="preserve"> add value to </w:t>
      </w:r>
      <w:r w:rsidR="00CF1810">
        <w:t xml:space="preserve">the MOBTC attendees. Also, it could increase the potential authors network that the conference </w:t>
      </w:r>
      <w:r w:rsidR="0070554A">
        <w:t>traditionally has develop.</w:t>
      </w:r>
    </w:p>
    <w:p w14:paraId="42BC144D" w14:textId="4F1A9CDA" w:rsidR="007C43C5" w:rsidRPr="00C246FF" w:rsidRDefault="00FB01A2" w:rsidP="006302E7">
      <w:pPr>
        <w:spacing w:after="0"/>
      </w:pPr>
      <w:r w:rsidRPr="00C246FF">
        <w:rPr>
          <w:b/>
          <w:bCs/>
        </w:rPr>
        <w:t xml:space="preserve">Session </w:t>
      </w:r>
      <w:r w:rsidR="00BC4FAD" w:rsidRPr="00C246FF">
        <w:rPr>
          <w:b/>
          <w:bCs/>
        </w:rPr>
        <w:t>D</w:t>
      </w:r>
      <w:r w:rsidRPr="00C246FF">
        <w:rPr>
          <w:b/>
          <w:bCs/>
        </w:rPr>
        <w:t>escription</w:t>
      </w:r>
      <w:r w:rsidR="00FF4D0A" w:rsidRPr="00C246FF">
        <w:rPr>
          <w:b/>
          <w:bCs/>
        </w:rPr>
        <w:t xml:space="preserve"> </w:t>
      </w:r>
    </w:p>
    <w:p w14:paraId="2C74CE8B" w14:textId="5C1A39AC" w:rsidR="006302E7" w:rsidRPr="00C246FF" w:rsidRDefault="00BA2EFD" w:rsidP="009A6EBD">
      <w:pPr>
        <w:shd w:val="clear" w:color="auto" w:fill="FFFFFF"/>
        <w:spacing w:after="0"/>
        <w:ind w:firstLine="720"/>
        <w:rPr>
          <w:rFonts w:eastAsia="Times New Roman" w:cs="Times New Roman"/>
          <w:szCs w:val="24"/>
        </w:rPr>
      </w:pPr>
      <w:r w:rsidRPr="00C246FF">
        <w:rPr>
          <w:rFonts w:cs="Times New Roman"/>
          <w:szCs w:val="24"/>
        </w:rPr>
        <w:t>We propose formatting our session as a</w:t>
      </w:r>
      <w:r w:rsidR="009A16F2" w:rsidRPr="00C246FF">
        <w:rPr>
          <w:rFonts w:cs="Times New Roman"/>
          <w:szCs w:val="24"/>
        </w:rPr>
        <w:t xml:space="preserve"> 60-minute</w:t>
      </w:r>
      <w:r w:rsidRPr="00C246FF">
        <w:rPr>
          <w:rFonts w:cs="Times New Roman"/>
          <w:szCs w:val="24"/>
        </w:rPr>
        <w:t xml:space="preserve"> roundtable discussion. </w:t>
      </w:r>
      <w:r w:rsidR="009A6EBD" w:rsidRPr="00C246FF">
        <w:rPr>
          <w:rFonts w:eastAsia="Times New Roman" w:cs="Times New Roman"/>
          <w:szCs w:val="24"/>
        </w:rPr>
        <w:t xml:space="preserve">The session leaders will </w:t>
      </w:r>
      <w:r w:rsidR="006302E7" w:rsidRPr="00C246FF">
        <w:rPr>
          <w:rFonts w:eastAsia="Times New Roman" w:cs="Times New Roman"/>
          <w:szCs w:val="24"/>
        </w:rPr>
        <w:t xml:space="preserve">provide </w:t>
      </w:r>
      <w:r w:rsidR="009A6EBD" w:rsidRPr="00C246FF">
        <w:rPr>
          <w:rFonts w:eastAsia="Times New Roman" w:cs="Times New Roman"/>
          <w:szCs w:val="24"/>
        </w:rPr>
        <w:t xml:space="preserve">a structured discussion about current </w:t>
      </w:r>
      <w:r w:rsidR="006302E7" w:rsidRPr="00C246FF">
        <w:rPr>
          <w:rFonts w:eastAsia="Times New Roman" w:cs="Times New Roman"/>
          <w:szCs w:val="24"/>
        </w:rPr>
        <w:t xml:space="preserve">DEI case teaching approaches, as well </w:t>
      </w:r>
      <w:r w:rsidR="00C246FF" w:rsidRPr="00C246FF">
        <w:rPr>
          <w:rFonts w:eastAsia="Times New Roman" w:cs="Times New Roman"/>
          <w:szCs w:val="24"/>
        </w:rPr>
        <w:t>introduce</w:t>
      </w:r>
      <w:r w:rsidR="006302E7" w:rsidRPr="00C246FF">
        <w:rPr>
          <w:rFonts w:eastAsia="Times New Roman" w:cs="Times New Roman"/>
          <w:szCs w:val="24"/>
        </w:rPr>
        <w:t xml:space="preserve"> examples of </w:t>
      </w:r>
      <w:r w:rsidR="00C246FF" w:rsidRPr="00C246FF">
        <w:rPr>
          <w:rFonts w:eastAsia="Times New Roman" w:cs="Times New Roman"/>
          <w:szCs w:val="24"/>
        </w:rPr>
        <w:t xml:space="preserve">DEI </w:t>
      </w:r>
      <w:r w:rsidR="006302E7" w:rsidRPr="00C246FF">
        <w:rPr>
          <w:rFonts w:eastAsia="Times New Roman" w:cs="Times New Roman"/>
          <w:szCs w:val="24"/>
        </w:rPr>
        <w:t xml:space="preserve">topics and specific cases that can be used by participants </w:t>
      </w:r>
      <w:r w:rsidR="00C246FF" w:rsidRPr="00C246FF">
        <w:rPr>
          <w:rFonts w:eastAsia="Times New Roman" w:cs="Times New Roman"/>
          <w:szCs w:val="24"/>
        </w:rPr>
        <w:t xml:space="preserve">to </w:t>
      </w:r>
      <w:r w:rsidR="00D15830" w:rsidRPr="00C246FF">
        <w:rPr>
          <w:rFonts w:eastAsia="Times New Roman" w:cs="Times New Roman"/>
          <w:szCs w:val="24"/>
        </w:rPr>
        <w:t>teach</w:t>
      </w:r>
      <w:r w:rsidR="00C246FF" w:rsidRPr="00C246FF">
        <w:rPr>
          <w:rFonts w:eastAsia="Times New Roman" w:cs="Times New Roman"/>
          <w:szCs w:val="24"/>
        </w:rPr>
        <w:t xml:space="preserve"> </w:t>
      </w:r>
      <w:proofErr w:type="spellStart"/>
      <w:r w:rsidR="00C246FF" w:rsidRPr="00C246FF">
        <w:rPr>
          <w:rFonts w:eastAsia="Times New Roman" w:cs="Times New Roman"/>
          <w:szCs w:val="24"/>
        </w:rPr>
        <w:t>hem</w:t>
      </w:r>
      <w:proofErr w:type="spellEnd"/>
      <w:r w:rsidR="00C246FF" w:rsidRPr="00C246FF">
        <w:rPr>
          <w:rFonts w:eastAsia="Times New Roman" w:cs="Times New Roman"/>
          <w:szCs w:val="24"/>
        </w:rPr>
        <w:t xml:space="preserve"> </w:t>
      </w:r>
      <w:r w:rsidR="006302E7" w:rsidRPr="00C246FF">
        <w:rPr>
          <w:rFonts w:eastAsia="Times New Roman" w:cs="Times New Roman"/>
          <w:szCs w:val="24"/>
        </w:rPr>
        <w:t>in their own courses.</w:t>
      </w:r>
    </w:p>
    <w:p w14:paraId="7DC23824" w14:textId="1322787B" w:rsidR="009A6EBD" w:rsidRPr="003F6319" w:rsidRDefault="009A6EBD" w:rsidP="009A6EBD">
      <w:pPr>
        <w:shd w:val="clear" w:color="auto" w:fill="FFFFFF"/>
        <w:spacing w:after="0"/>
        <w:ind w:firstLine="720"/>
        <w:rPr>
          <w:rFonts w:eastAsia="Times New Roman" w:cs="Times New Roman"/>
          <w:szCs w:val="24"/>
        </w:rPr>
      </w:pPr>
      <w:r w:rsidRPr="003F6319">
        <w:rPr>
          <w:rFonts w:eastAsia="Times New Roman" w:cs="Times New Roman"/>
          <w:szCs w:val="24"/>
        </w:rPr>
        <w:t>The timeline for the session will be:</w:t>
      </w:r>
    </w:p>
    <w:p w14:paraId="776098A5" w14:textId="5DEED615" w:rsidR="009A6EBD" w:rsidRPr="003F6319" w:rsidRDefault="006302E7" w:rsidP="009A6EBD">
      <w:pPr>
        <w:pStyle w:val="ListParagraph"/>
        <w:numPr>
          <w:ilvl w:val="0"/>
          <w:numId w:val="2"/>
        </w:numPr>
        <w:shd w:val="clear" w:color="auto" w:fill="FFFFFF"/>
        <w:spacing w:after="0"/>
        <w:rPr>
          <w:rFonts w:eastAsia="Times New Roman" w:cs="Times New Roman"/>
          <w:szCs w:val="24"/>
        </w:rPr>
      </w:pPr>
      <w:r w:rsidRPr="003F6319">
        <w:rPr>
          <w:rFonts w:eastAsia="Times New Roman" w:cs="Times New Roman"/>
          <w:szCs w:val="24"/>
        </w:rPr>
        <w:t>1</w:t>
      </w:r>
      <w:r w:rsidR="00E712B2">
        <w:rPr>
          <w:rFonts w:eastAsia="Times New Roman" w:cs="Times New Roman"/>
          <w:szCs w:val="24"/>
        </w:rPr>
        <w:t>5</w:t>
      </w:r>
      <w:r w:rsidR="009A6EBD" w:rsidRPr="003F6319">
        <w:rPr>
          <w:rFonts w:eastAsia="Times New Roman" w:cs="Times New Roman"/>
          <w:szCs w:val="24"/>
        </w:rPr>
        <w:t xml:space="preserve"> min: Introduction to the topic</w:t>
      </w:r>
      <w:r w:rsidRPr="003F6319">
        <w:rPr>
          <w:rFonts w:eastAsia="Times New Roman" w:cs="Times New Roman"/>
          <w:szCs w:val="24"/>
        </w:rPr>
        <w:t xml:space="preserve">s of diversity, equity, and inclusion, including an outline how current HRM practices </w:t>
      </w:r>
      <w:r w:rsidR="00E712B2">
        <w:rPr>
          <w:rFonts w:eastAsia="Times New Roman" w:cs="Times New Roman"/>
          <w:szCs w:val="24"/>
        </w:rPr>
        <w:t xml:space="preserve">across various industries </w:t>
      </w:r>
      <w:r w:rsidRPr="003F6319">
        <w:rPr>
          <w:rFonts w:eastAsia="Times New Roman" w:cs="Times New Roman"/>
          <w:szCs w:val="24"/>
        </w:rPr>
        <w:t>have leveraged DEI to improve their</w:t>
      </w:r>
      <w:r w:rsidR="00E712B2">
        <w:rPr>
          <w:rFonts w:eastAsia="Times New Roman" w:cs="Times New Roman"/>
          <w:szCs w:val="24"/>
        </w:rPr>
        <w:t xml:space="preserve"> performance and recruitment/retention/promotion </w:t>
      </w:r>
      <w:r w:rsidR="00220AD8">
        <w:rPr>
          <w:rFonts w:eastAsia="Times New Roman" w:cs="Times New Roman"/>
          <w:szCs w:val="24"/>
        </w:rPr>
        <w:t>outcomes</w:t>
      </w:r>
      <w:r w:rsidR="00E712B2">
        <w:rPr>
          <w:rFonts w:eastAsia="Times New Roman" w:cs="Times New Roman"/>
          <w:szCs w:val="24"/>
        </w:rPr>
        <w:t>.</w:t>
      </w:r>
    </w:p>
    <w:p w14:paraId="127DDD38" w14:textId="64641657" w:rsidR="009A6EBD" w:rsidRPr="003F6319" w:rsidRDefault="009A6EBD" w:rsidP="009A6EBD">
      <w:pPr>
        <w:pStyle w:val="ListParagraph"/>
        <w:numPr>
          <w:ilvl w:val="0"/>
          <w:numId w:val="2"/>
        </w:numPr>
        <w:shd w:val="clear" w:color="auto" w:fill="FFFFFF"/>
        <w:spacing w:after="0"/>
        <w:rPr>
          <w:rFonts w:eastAsia="Times New Roman" w:cs="Times New Roman"/>
          <w:szCs w:val="24"/>
        </w:rPr>
      </w:pPr>
      <w:r w:rsidRPr="003F6319">
        <w:rPr>
          <w:rFonts w:eastAsia="Times New Roman" w:cs="Times New Roman"/>
          <w:szCs w:val="24"/>
        </w:rPr>
        <w:t>15 min: Participants will introduce themselves and answer these questions:</w:t>
      </w:r>
    </w:p>
    <w:p w14:paraId="019C6ED6" w14:textId="3F7A46F4" w:rsidR="009A6EBD" w:rsidRPr="00E712B2" w:rsidRDefault="00735D7D" w:rsidP="009A6EBD">
      <w:pPr>
        <w:pStyle w:val="ListParagraph"/>
        <w:numPr>
          <w:ilvl w:val="1"/>
          <w:numId w:val="2"/>
        </w:numPr>
        <w:shd w:val="clear" w:color="auto" w:fill="FFFFFF"/>
        <w:spacing w:after="0"/>
        <w:rPr>
          <w:rFonts w:eastAsia="Times New Roman" w:cs="Times New Roman"/>
          <w:szCs w:val="24"/>
        </w:rPr>
      </w:pPr>
      <w:r w:rsidRPr="00E712B2">
        <w:rPr>
          <w:rFonts w:eastAsia="Times New Roman" w:cs="Times New Roman"/>
          <w:szCs w:val="24"/>
        </w:rPr>
        <w:t>Do you have any prior experience teaching DEI?</w:t>
      </w:r>
    </w:p>
    <w:p w14:paraId="261C53C6" w14:textId="77777777" w:rsidR="00735D7D" w:rsidRPr="00E712B2" w:rsidRDefault="00735D7D" w:rsidP="00735D7D">
      <w:pPr>
        <w:pStyle w:val="ListParagraph"/>
        <w:numPr>
          <w:ilvl w:val="1"/>
          <w:numId w:val="2"/>
        </w:numPr>
        <w:shd w:val="clear" w:color="auto" w:fill="FFFFFF"/>
        <w:spacing w:after="0"/>
        <w:rPr>
          <w:rFonts w:eastAsia="Times New Roman" w:cs="Times New Roman"/>
          <w:szCs w:val="24"/>
        </w:rPr>
      </w:pPr>
      <w:r w:rsidRPr="00E712B2">
        <w:rPr>
          <w:rFonts w:eastAsia="Times New Roman" w:cs="Times New Roman"/>
          <w:szCs w:val="24"/>
        </w:rPr>
        <w:t xml:space="preserve">What is the most appealing aspect of teaching DEI at your institution? </w:t>
      </w:r>
    </w:p>
    <w:p w14:paraId="5100C898" w14:textId="425A08A1" w:rsidR="00735D7D" w:rsidRPr="00E712B2" w:rsidRDefault="00735D7D" w:rsidP="00735D7D">
      <w:pPr>
        <w:pStyle w:val="ListParagraph"/>
        <w:numPr>
          <w:ilvl w:val="1"/>
          <w:numId w:val="2"/>
        </w:numPr>
        <w:shd w:val="clear" w:color="auto" w:fill="FFFFFF"/>
        <w:spacing w:after="0"/>
        <w:rPr>
          <w:rFonts w:eastAsia="Times New Roman" w:cs="Times New Roman"/>
          <w:szCs w:val="24"/>
        </w:rPr>
      </w:pPr>
      <w:r w:rsidRPr="00E712B2">
        <w:rPr>
          <w:rFonts w:eastAsia="Times New Roman" w:cs="Times New Roman"/>
          <w:szCs w:val="24"/>
        </w:rPr>
        <w:t>What is the most frightening aspect of teaching DEI at your institution?</w:t>
      </w:r>
    </w:p>
    <w:p w14:paraId="6954B1C6" w14:textId="23C9C2AF" w:rsidR="009A6EBD" w:rsidRPr="00E712B2" w:rsidRDefault="00735D7D" w:rsidP="009A6EBD">
      <w:pPr>
        <w:pStyle w:val="ListParagraph"/>
        <w:numPr>
          <w:ilvl w:val="1"/>
          <w:numId w:val="2"/>
        </w:numPr>
        <w:shd w:val="clear" w:color="auto" w:fill="FFFFFF"/>
        <w:spacing w:after="0"/>
        <w:rPr>
          <w:rFonts w:eastAsia="Times New Roman" w:cs="Times New Roman"/>
          <w:szCs w:val="24"/>
        </w:rPr>
      </w:pPr>
      <w:r w:rsidRPr="00E712B2">
        <w:rPr>
          <w:rFonts w:eastAsia="Times New Roman" w:cs="Times New Roman"/>
          <w:szCs w:val="24"/>
        </w:rPr>
        <w:t>Which pedological approaches have you used to teach DEI, did it involve lectures, article readings, journal readings, or cases studies?</w:t>
      </w:r>
    </w:p>
    <w:p w14:paraId="6868F65B" w14:textId="72E324C7" w:rsidR="009A6EBD" w:rsidRPr="00E712B2" w:rsidRDefault="009A6EBD" w:rsidP="009A6EBD">
      <w:pPr>
        <w:pStyle w:val="ListParagraph"/>
        <w:numPr>
          <w:ilvl w:val="1"/>
          <w:numId w:val="2"/>
        </w:numPr>
        <w:shd w:val="clear" w:color="auto" w:fill="FFFFFF"/>
        <w:spacing w:after="0"/>
        <w:rPr>
          <w:rFonts w:eastAsia="Times New Roman" w:cs="Times New Roman"/>
          <w:szCs w:val="24"/>
        </w:rPr>
      </w:pPr>
      <w:r w:rsidRPr="00E712B2">
        <w:rPr>
          <w:rFonts w:eastAsia="Times New Roman" w:cs="Times New Roman"/>
          <w:szCs w:val="24"/>
        </w:rPr>
        <w:lastRenderedPageBreak/>
        <w:t xml:space="preserve">How does </w:t>
      </w:r>
      <w:r w:rsidR="00E712B2" w:rsidRPr="00E712B2">
        <w:rPr>
          <w:rFonts w:eastAsia="Times New Roman" w:cs="Times New Roman"/>
          <w:szCs w:val="24"/>
        </w:rPr>
        <w:t xml:space="preserve">teaching </w:t>
      </w:r>
      <w:r w:rsidR="00735D7D" w:rsidRPr="00E712B2">
        <w:rPr>
          <w:rFonts w:eastAsia="Times New Roman" w:cs="Times New Roman"/>
          <w:szCs w:val="24"/>
        </w:rPr>
        <w:t xml:space="preserve">DEI </w:t>
      </w:r>
      <w:r w:rsidR="00E712B2" w:rsidRPr="00E712B2">
        <w:rPr>
          <w:rFonts w:eastAsia="Times New Roman" w:cs="Times New Roman"/>
          <w:szCs w:val="24"/>
        </w:rPr>
        <w:t>integrate</w:t>
      </w:r>
      <w:r w:rsidR="00735D7D" w:rsidRPr="00E712B2">
        <w:rPr>
          <w:rFonts w:eastAsia="Times New Roman" w:cs="Times New Roman"/>
          <w:szCs w:val="24"/>
        </w:rPr>
        <w:t xml:space="preserve"> with </w:t>
      </w:r>
      <w:r w:rsidR="00E712B2" w:rsidRPr="00E712B2">
        <w:rPr>
          <w:rFonts w:eastAsia="Times New Roman" w:cs="Times New Roman"/>
          <w:szCs w:val="24"/>
        </w:rPr>
        <w:t xml:space="preserve">the </w:t>
      </w:r>
      <w:r w:rsidR="00735D7D" w:rsidRPr="00E712B2">
        <w:rPr>
          <w:rFonts w:eastAsia="Times New Roman" w:cs="Times New Roman"/>
          <w:szCs w:val="24"/>
        </w:rPr>
        <w:t xml:space="preserve">mission of your school </w:t>
      </w:r>
      <w:r w:rsidR="00E712B2" w:rsidRPr="00E712B2">
        <w:rPr>
          <w:rFonts w:eastAsia="Times New Roman" w:cs="Times New Roman"/>
          <w:szCs w:val="24"/>
        </w:rPr>
        <w:t>and/or institution?</w:t>
      </w:r>
    </w:p>
    <w:p w14:paraId="1DBFF832" w14:textId="73D924B5" w:rsidR="009A6EBD" w:rsidRPr="00735D7D" w:rsidRDefault="00735D7D" w:rsidP="00735D7D">
      <w:pPr>
        <w:pStyle w:val="ListParagraph"/>
        <w:numPr>
          <w:ilvl w:val="0"/>
          <w:numId w:val="2"/>
        </w:numPr>
        <w:shd w:val="clear" w:color="auto" w:fill="FFFFFF"/>
        <w:spacing w:after="0"/>
        <w:rPr>
          <w:rFonts w:eastAsia="Times New Roman" w:cs="Times New Roman"/>
          <w:szCs w:val="24"/>
        </w:rPr>
      </w:pPr>
      <w:r w:rsidRPr="003F6319">
        <w:rPr>
          <w:rFonts w:eastAsia="Times New Roman" w:cs="Times New Roman"/>
          <w:szCs w:val="24"/>
        </w:rPr>
        <w:t>1</w:t>
      </w:r>
      <w:r>
        <w:rPr>
          <w:rFonts w:eastAsia="Times New Roman" w:cs="Times New Roman"/>
          <w:szCs w:val="24"/>
        </w:rPr>
        <w:t>5</w:t>
      </w:r>
      <w:r w:rsidRPr="003F6319">
        <w:rPr>
          <w:rFonts w:eastAsia="Times New Roman" w:cs="Times New Roman"/>
          <w:szCs w:val="24"/>
        </w:rPr>
        <w:t xml:space="preserve"> min</w:t>
      </w:r>
      <w:r w:rsidRPr="00735D7D">
        <w:rPr>
          <w:rFonts w:eastAsia="Times New Roman" w:cs="Times New Roman"/>
          <w:szCs w:val="24"/>
        </w:rPr>
        <w:t xml:space="preserve">: </w:t>
      </w:r>
      <w:r w:rsidR="009A6EBD" w:rsidRPr="00735D7D">
        <w:rPr>
          <w:rFonts w:eastAsia="Times New Roman" w:cs="Times New Roman"/>
          <w:szCs w:val="24"/>
        </w:rPr>
        <w:t>Organization and discussion of what was shared.</w:t>
      </w:r>
    </w:p>
    <w:p w14:paraId="68A168A8" w14:textId="57778DEB" w:rsidR="009A6EBD" w:rsidRPr="00735D7D" w:rsidRDefault="009A6EBD" w:rsidP="009A6EBD">
      <w:pPr>
        <w:pStyle w:val="ListParagraph"/>
        <w:numPr>
          <w:ilvl w:val="1"/>
          <w:numId w:val="2"/>
        </w:numPr>
        <w:shd w:val="clear" w:color="auto" w:fill="FFFFFF"/>
        <w:spacing w:after="0"/>
        <w:rPr>
          <w:rFonts w:eastAsia="Times New Roman" w:cs="Times New Roman"/>
          <w:szCs w:val="24"/>
        </w:rPr>
      </w:pPr>
      <w:r w:rsidRPr="00735D7D">
        <w:rPr>
          <w:rFonts w:eastAsia="Times New Roman" w:cs="Times New Roman"/>
          <w:szCs w:val="24"/>
        </w:rPr>
        <w:t>What are the commonalities</w:t>
      </w:r>
      <w:r w:rsidR="00E712B2">
        <w:rPr>
          <w:rFonts w:eastAsia="Times New Roman" w:cs="Times New Roman"/>
          <w:szCs w:val="24"/>
        </w:rPr>
        <w:t xml:space="preserve"> of teaching DEI compared to other case studies</w:t>
      </w:r>
      <w:r w:rsidRPr="00735D7D">
        <w:rPr>
          <w:rFonts w:eastAsia="Times New Roman" w:cs="Times New Roman"/>
          <w:szCs w:val="24"/>
        </w:rPr>
        <w:t>?</w:t>
      </w:r>
    </w:p>
    <w:p w14:paraId="0B10B161" w14:textId="5542591D" w:rsidR="009A6EBD" w:rsidRPr="00E712B2" w:rsidRDefault="009A6EBD" w:rsidP="00E712B2">
      <w:pPr>
        <w:pStyle w:val="ListParagraph"/>
        <w:numPr>
          <w:ilvl w:val="1"/>
          <w:numId w:val="2"/>
        </w:numPr>
        <w:shd w:val="clear" w:color="auto" w:fill="FFFFFF"/>
        <w:spacing w:after="0"/>
        <w:rPr>
          <w:rFonts w:eastAsia="Times New Roman" w:cs="Times New Roman"/>
          <w:szCs w:val="24"/>
        </w:rPr>
      </w:pPr>
      <w:r w:rsidRPr="00735D7D">
        <w:rPr>
          <w:rFonts w:eastAsia="Times New Roman" w:cs="Times New Roman"/>
          <w:szCs w:val="24"/>
        </w:rPr>
        <w:t xml:space="preserve">What are the best </w:t>
      </w:r>
      <w:r w:rsidR="00B776CD" w:rsidRPr="00735D7D">
        <w:rPr>
          <w:rFonts w:eastAsia="Times New Roman" w:cs="Times New Roman"/>
          <w:szCs w:val="24"/>
        </w:rPr>
        <w:t xml:space="preserve">practices </w:t>
      </w:r>
      <w:r w:rsidR="00E712B2">
        <w:rPr>
          <w:rFonts w:eastAsia="Times New Roman" w:cs="Times New Roman"/>
          <w:szCs w:val="24"/>
        </w:rPr>
        <w:t xml:space="preserve">for DEI case teaching </w:t>
      </w:r>
      <w:r w:rsidRPr="00735D7D">
        <w:rPr>
          <w:rFonts w:eastAsia="Times New Roman" w:cs="Times New Roman"/>
          <w:szCs w:val="24"/>
        </w:rPr>
        <w:t>that should be highlighted and spread?</w:t>
      </w:r>
    </w:p>
    <w:p w14:paraId="1A717FC0" w14:textId="52CF7152" w:rsidR="009A6EBD" w:rsidRPr="003F6319" w:rsidRDefault="009A6EBD" w:rsidP="009A6EBD">
      <w:pPr>
        <w:pStyle w:val="ListParagraph"/>
        <w:numPr>
          <w:ilvl w:val="0"/>
          <w:numId w:val="2"/>
        </w:numPr>
        <w:shd w:val="clear" w:color="auto" w:fill="FFFFFF"/>
        <w:spacing w:after="0"/>
        <w:rPr>
          <w:rFonts w:eastAsia="Times New Roman" w:cs="Times New Roman"/>
          <w:szCs w:val="24"/>
        </w:rPr>
      </w:pPr>
      <w:r w:rsidRPr="003F6319">
        <w:rPr>
          <w:rFonts w:eastAsia="Times New Roman" w:cs="Times New Roman"/>
          <w:szCs w:val="24"/>
        </w:rPr>
        <w:t>1</w:t>
      </w:r>
      <w:r w:rsidR="00E712B2">
        <w:rPr>
          <w:rFonts w:eastAsia="Times New Roman" w:cs="Times New Roman"/>
          <w:szCs w:val="24"/>
        </w:rPr>
        <w:t>5</w:t>
      </w:r>
      <w:r w:rsidRPr="003F6319">
        <w:rPr>
          <w:rFonts w:eastAsia="Times New Roman" w:cs="Times New Roman"/>
          <w:szCs w:val="24"/>
        </w:rPr>
        <w:t xml:space="preserve"> min: Wrap-up</w:t>
      </w:r>
    </w:p>
    <w:p w14:paraId="7399C519" w14:textId="5D4ECD7D" w:rsidR="009A6EBD" w:rsidRPr="00E55623" w:rsidRDefault="009A6EBD" w:rsidP="00E712B2">
      <w:pPr>
        <w:pStyle w:val="ListParagraph"/>
        <w:numPr>
          <w:ilvl w:val="1"/>
          <w:numId w:val="2"/>
        </w:numPr>
        <w:shd w:val="clear" w:color="auto" w:fill="FFFFFF"/>
        <w:spacing w:after="0"/>
        <w:rPr>
          <w:rFonts w:eastAsia="Times New Roman" w:cs="Times New Roman"/>
          <w:szCs w:val="24"/>
        </w:rPr>
      </w:pPr>
      <w:r w:rsidRPr="00E55623">
        <w:rPr>
          <w:rFonts w:eastAsia="Times New Roman" w:cs="Times New Roman"/>
          <w:szCs w:val="24"/>
        </w:rPr>
        <w:t xml:space="preserve">What issues does </w:t>
      </w:r>
      <w:r w:rsidR="00E712B2" w:rsidRPr="00E55623">
        <w:rPr>
          <w:rFonts w:eastAsia="Times New Roman" w:cs="Times New Roman"/>
          <w:szCs w:val="24"/>
        </w:rPr>
        <w:t xml:space="preserve">DEI case teaching solve </w:t>
      </w:r>
      <w:r w:rsidRPr="00E55623">
        <w:rPr>
          <w:rFonts w:eastAsia="Times New Roman" w:cs="Times New Roman"/>
          <w:szCs w:val="24"/>
        </w:rPr>
        <w:t>and where does it fall short?</w:t>
      </w:r>
    </w:p>
    <w:p w14:paraId="0CEE5ABE" w14:textId="77777777" w:rsidR="00005D2F" w:rsidRPr="00E55623" w:rsidRDefault="009A6EBD" w:rsidP="009A6EBD">
      <w:pPr>
        <w:pStyle w:val="ListParagraph"/>
        <w:numPr>
          <w:ilvl w:val="1"/>
          <w:numId w:val="2"/>
        </w:numPr>
        <w:shd w:val="clear" w:color="auto" w:fill="FFFFFF"/>
        <w:spacing w:after="0"/>
        <w:rPr>
          <w:rFonts w:eastAsia="Times New Roman" w:cs="Times New Roman"/>
          <w:szCs w:val="24"/>
        </w:rPr>
      </w:pPr>
      <w:r w:rsidRPr="00E55623">
        <w:rPr>
          <w:rFonts w:eastAsia="Times New Roman" w:cs="Times New Roman"/>
          <w:szCs w:val="24"/>
        </w:rPr>
        <w:t>What are the key takeaways from today’s discussion?</w:t>
      </w:r>
    </w:p>
    <w:p w14:paraId="6D2B3934" w14:textId="24FEA453" w:rsidR="009A6EBD" w:rsidRPr="00E55623" w:rsidRDefault="00005D2F" w:rsidP="009A6EBD">
      <w:pPr>
        <w:pStyle w:val="ListParagraph"/>
        <w:numPr>
          <w:ilvl w:val="1"/>
          <w:numId w:val="2"/>
        </w:numPr>
        <w:shd w:val="clear" w:color="auto" w:fill="FFFFFF"/>
        <w:spacing w:after="0"/>
        <w:rPr>
          <w:rFonts w:eastAsia="Times New Roman" w:cs="Times New Roman"/>
          <w:szCs w:val="24"/>
        </w:rPr>
      </w:pPr>
      <w:r w:rsidRPr="00E55623">
        <w:rPr>
          <w:rFonts w:eastAsia="Times New Roman" w:cs="Times New Roman"/>
          <w:szCs w:val="24"/>
        </w:rPr>
        <w:t xml:space="preserve">Is there interest in continuing to explore this topic </w:t>
      </w:r>
      <w:r w:rsidR="00E712B2" w:rsidRPr="00E55623">
        <w:rPr>
          <w:rFonts w:eastAsia="Times New Roman" w:cs="Times New Roman"/>
          <w:szCs w:val="24"/>
        </w:rPr>
        <w:t xml:space="preserve">of DEI case teaching </w:t>
      </w:r>
      <w:r w:rsidRPr="00E55623">
        <w:rPr>
          <w:rFonts w:eastAsia="Times New Roman" w:cs="Times New Roman"/>
          <w:szCs w:val="24"/>
        </w:rPr>
        <w:t xml:space="preserve">via a </w:t>
      </w:r>
      <w:r w:rsidR="00E712B2" w:rsidRPr="00E55623">
        <w:rPr>
          <w:rFonts w:eastAsia="Times New Roman" w:cs="Times New Roman"/>
          <w:szCs w:val="24"/>
        </w:rPr>
        <w:t xml:space="preserve">coordinated </w:t>
      </w:r>
      <w:r w:rsidRPr="00E55623">
        <w:rPr>
          <w:rFonts w:eastAsia="Times New Roman" w:cs="Times New Roman"/>
          <w:szCs w:val="24"/>
        </w:rPr>
        <w:t>discussion group or</w:t>
      </w:r>
      <w:r w:rsidR="00E712B2" w:rsidRPr="00E55623">
        <w:rPr>
          <w:rFonts w:eastAsia="Times New Roman" w:cs="Times New Roman"/>
          <w:szCs w:val="24"/>
        </w:rPr>
        <w:t xml:space="preserve"> collective</w:t>
      </w:r>
      <w:r w:rsidRPr="00E55623">
        <w:rPr>
          <w:rFonts w:eastAsia="Times New Roman" w:cs="Times New Roman"/>
          <w:szCs w:val="24"/>
        </w:rPr>
        <w:t xml:space="preserve"> research project?</w:t>
      </w:r>
    </w:p>
    <w:p w14:paraId="70C9D68A" w14:textId="3DF0315A" w:rsidR="00BA2EFD" w:rsidRDefault="008D1A1D" w:rsidP="00626E8B">
      <w:pPr>
        <w:shd w:val="clear" w:color="auto" w:fill="FFFFFF"/>
        <w:spacing w:after="0"/>
        <w:ind w:left="360" w:firstLine="360"/>
        <w:rPr>
          <w:rFonts w:eastAsia="Times New Roman" w:cs="Times New Roman"/>
          <w:szCs w:val="24"/>
        </w:rPr>
      </w:pPr>
      <w:r w:rsidRPr="00C95A5D">
        <w:rPr>
          <w:rFonts w:eastAsia="Times New Roman" w:cs="Times New Roman"/>
          <w:szCs w:val="24"/>
        </w:rPr>
        <w:t xml:space="preserve">Attendees will be expected to participate by contributing their own experiences, opinions, and knowledge to the discussions. In addition, they will help to organize the information that is shared, and they will provide feedback regarding a proposed </w:t>
      </w:r>
      <w:r w:rsidR="00C95A5D" w:rsidRPr="00C95A5D">
        <w:rPr>
          <w:rFonts w:eastAsia="Times New Roman" w:cs="Times New Roman"/>
          <w:szCs w:val="24"/>
        </w:rPr>
        <w:t>list of best practices for how to best teach and deliver DEI cases in both undergraduate and graduate business classes.</w:t>
      </w:r>
    </w:p>
    <w:p w14:paraId="55569D65" w14:textId="298E467B" w:rsidR="009A16F2" w:rsidRDefault="002D1891" w:rsidP="007771AA">
      <w:pPr>
        <w:rPr>
          <w:rFonts w:cs="Times New Roman"/>
          <w:b/>
          <w:bCs/>
          <w:szCs w:val="24"/>
        </w:rPr>
      </w:pPr>
      <w:r>
        <w:rPr>
          <w:rFonts w:cs="Times New Roman"/>
          <w:b/>
          <w:bCs/>
          <w:szCs w:val="24"/>
        </w:rPr>
        <w:t>References</w:t>
      </w:r>
    </w:p>
    <w:p w14:paraId="7E57335A" w14:textId="56B23405" w:rsidR="00F2602C" w:rsidRPr="00F2602C" w:rsidRDefault="00F2602C" w:rsidP="00F2602C">
      <w:pPr>
        <w:widowControl w:val="0"/>
        <w:autoSpaceDE w:val="0"/>
        <w:autoSpaceDN w:val="0"/>
        <w:adjustRightInd w:val="0"/>
        <w:ind w:left="480" w:hanging="480"/>
        <w:rPr>
          <w:rFonts w:cs="Times New Roman"/>
          <w:noProof/>
          <w:szCs w:val="24"/>
        </w:rPr>
      </w:pPr>
      <w:r>
        <w:rPr>
          <w:rFonts w:cs="Times New Roman"/>
          <w:b/>
          <w:bCs/>
          <w:szCs w:val="24"/>
        </w:rPr>
        <w:fldChar w:fldCharType="begin" w:fldLock="1"/>
      </w:r>
      <w:r>
        <w:rPr>
          <w:rFonts w:cs="Times New Roman"/>
          <w:b/>
          <w:bCs/>
          <w:szCs w:val="24"/>
        </w:rPr>
        <w:instrText xml:space="preserve">ADDIN Mendeley Bibliography CSL_BIBLIOGRAPHY </w:instrText>
      </w:r>
      <w:r>
        <w:rPr>
          <w:rFonts w:cs="Times New Roman"/>
          <w:b/>
          <w:bCs/>
          <w:szCs w:val="24"/>
        </w:rPr>
        <w:fldChar w:fldCharType="separate"/>
      </w:r>
      <w:r w:rsidRPr="00F2602C">
        <w:rPr>
          <w:rFonts w:cs="Times New Roman"/>
          <w:noProof/>
          <w:szCs w:val="24"/>
        </w:rPr>
        <w:t xml:space="preserve">Andersen, E., &amp; Schiano, B. (2014). </w:t>
      </w:r>
      <w:r w:rsidRPr="00F2602C">
        <w:rPr>
          <w:rFonts w:cs="Times New Roman"/>
          <w:i/>
          <w:iCs/>
          <w:noProof/>
          <w:szCs w:val="24"/>
        </w:rPr>
        <w:t>Teaching with cases</w:t>
      </w:r>
      <w:r w:rsidRPr="00F2602C">
        <w:rPr>
          <w:rFonts w:cs="Times New Roman"/>
          <w:noProof/>
          <w:szCs w:val="24"/>
        </w:rPr>
        <w:t>. Harvard Buisness Publishing.</w:t>
      </w:r>
    </w:p>
    <w:p w14:paraId="7259F56F"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Budd, J. W. (2018). </w:t>
      </w:r>
      <w:r w:rsidRPr="00F2602C">
        <w:rPr>
          <w:rFonts w:cs="Times New Roman"/>
          <w:i/>
          <w:iCs/>
          <w:noProof/>
          <w:szCs w:val="24"/>
        </w:rPr>
        <w:t>Employment with a Human Face: Balancing Efficiency, Equity, and Voice</w:t>
      </w:r>
      <w:r w:rsidRPr="00F2602C">
        <w:rPr>
          <w:rFonts w:cs="Times New Roman"/>
          <w:noProof/>
          <w:szCs w:val="24"/>
        </w:rPr>
        <w:t>. Cornell University Press. https://doi.org/doi:10.7591/9781501722387</w:t>
      </w:r>
    </w:p>
    <w:p w14:paraId="00299957"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Christensen, C. M., &amp; Raynor, M. E. (2003). Why Hard-Nosed Executives Should Care About Management Theory. </w:t>
      </w:r>
      <w:r w:rsidRPr="00F2602C">
        <w:rPr>
          <w:rFonts w:cs="Times New Roman"/>
          <w:i/>
          <w:iCs/>
          <w:noProof/>
          <w:szCs w:val="24"/>
        </w:rPr>
        <w:t>Harvard Business Review</w:t>
      </w:r>
      <w:r w:rsidRPr="00F2602C">
        <w:rPr>
          <w:rFonts w:cs="Times New Roman"/>
          <w:noProof/>
          <w:szCs w:val="24"/>
        </w:rPr>
        <w:t xml:space="preserve">, </w:t>
      </w:r>
      <w:r w:rsidRPr="00F2602C">
        <w:rPr>
          <w:rFonts w:cs="Times New Roman"/>
          <w:i/>
          <w:iCs/>
          <w:noProof/>
          <w:szCs w:val="24"/>
        </w:rPr>
        <w:t>81</w:t>
      </w:r>
      <w:r w:rsidRPr="00F2602C">
        <w:rPr>
          <w:rFonts w:cs="Times New Roman"/>
          <w:noProof/>
          <w:szCs w:val="24"/>
        </w:rPr>
        <w:t>(9).</w:t>
      </w:r>
    </w:p>
    <w:p w14:paraId="56EC5561"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Dong, S. (2021). </w:t>
      </w:r>
      <w:r w:rsidRPr="00F2602C">
        <w:rPr>
          <w:rFonts w:cs="Times New Roman"/>
          <w:i/>
          <w:iCs/>
          <w:noProof/>
          <w:szCs w:val="24"/>
        </w:rPr>
        <w:t>The History and Growth of the Diversity, Equity, and Inclusion Profession</w:t>
      </w:r>
      <w:r w:rsidRPr="00F2602C">
        <w:rPr>
          <w:rFonts w:cs="Times New Roman"/>
          <w:noProof/>
          <w:szCs w:val="24"/>
        </w:rPr>
        <w:t xml:space="preserve">. </w:t>
      </w:r>
      <w:r w:rsidRPr="00F2602C">
        <w:rPr>
          <w:rFonts w:cs="Times New Roman"/>
          <w:noProof/>
          <w:szCs w:val="24"/>
        </w:rPr>
        <w:lastRenderedPageBreak/>
        <w:t>GRC Insights. https://insights.grcglobalgroup.com/the-history-and-growth-of-the-diversity-equity-and-inclusion-profession/</w:t>
      </w:r>
    </w:p>
    <w:p w14:paraId="43943B9D"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Farquhar, J. D. (2012). </w:t>
      </w:r>
      <w:r w:rsidRPr="00F2602C">
        <w:rPr>
          <w:rFonts w:cs="Times New Roman"/>
          <w:i/>
          <w:iCs/>
          <w:noProof/>
          <w:szCs w:val="24"/>
        </w:rPr>
        <w:t>Case Study Reasearch for Business</w:t>
      </w:r>
      <w:r w:rsidRPr="00F2602C">
        <w:rPr>
          <w:rFonts w:cs="Times New Roman"/>
          <w:noProof/>
          <w:szCs w:val="24"/>
        </w:rPr>
        <w:t>. Sage Publications Sage CA: Thousand Oaks, CA.</w:t>
      </w:r>
    </w:p>
    <w:p w14:paraId="28BFC1F0"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Freeman, C. (1997). What is a “case”? </w:t>
      </w:r>
      <w:r w:rsidRPr="00F2602C">
        <w:rPr>
          <w:rFonts w:cs="Times New Roman"/>
          <w:i/>
          <w:iCs/>
          <w:noProof/>
          <w:szCs w:val="24"/>
        </w:rPr>
        <w:t>Journal of College Science Teaching</w:t>
      </w:r>
      <w:r w:rsidRPr="00F2602C">
        <w:rPr>
          <w:rFonts w:cs="Times New Roman"/>
          <w:noProof/>
          <w:szCs w:val="24"/>
        </w:rPr>
        <w:t xml:space="preserve">, </w:t>
      </w:r>
      <w:r w:rsidRPr="00F2602C">
        <w:rPr>
          <w:rFonts w:cs="Times New Roman"/>
          <w:i/>
          <w:iCs/>
          <w:noProof/>
          <w:szCs w:val="24"/>
        </w:rPr>
        <w:t>27</w:t>
      </w:r>
      <w:r w:rsidRPr="00F2602C">
        <w:rPr>
          <w:rFonts w:cs="Times New Roman"/>
          <w:noProof/>
          <w:szCs w:val="24"/>
        </w:rPr>
        <w:t>(2), 354–377. https://doi.org/10.35295/OSLS.IISL/0000-0000-0000-1149</w:t>
      </w:r>
    </w:p>
    <w:p w14:paraId="5F7FEE1A"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Freeman, C., &amp; Schiller, N. A. (2013). Case Studies and the Flipped Classroom. </w:t>
      </w:r>
      <w:r w:rsidRPr="00F2602C">
        <w:rPr>
          <w:rFonts w:cs="Times New Roman"/>
          <w:i/>
          <w:iCs/>
          <w:noProof/>
          <w:szCs w:val="24"/>
        </w:rPr>
        <w:t>Journal of College Science Teaching</w:t>
      </w:r>
      <w:r w:rsidRPr="00F2602C">
        <w:rPr>
          <w:rFonts w:cs="Times New Roman"/>
          <w:noProof/>
          <w:szCs w:val="24"/>
        </w:rPr>
        <w:t xml:space="preserve">, </w:t>
      </w:r>
      <w:r w:rsidRPr="00F2602C">
        <w:rPr>
          <w:rFonts w:cs="Times New Roman"/>
          <w:i/>
          <w:iCs/>
          <w:noProof/>
          <w:szCs w:val="24"/>
        </w:rPr>
        <w:t>42</w:t>
      </w:r>
      <w:r w:rsidRPr="00F2602C">
        <w:rPr>
          <w:rFonts w:cs="Times New Roman"/>
          <w:noProof/>
          <w:szCs w:val="24"/>
        </w:rPr>
        <w:t>(5), 62–66.</w:t>
      </w:r>
    </w:p>
    <w:p w14:paraId="49DE3416"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Fullerton, J., &amp; Kandola, R. S. (1994). </w:t>
      </w:r>
      <w:r w:rsidRPr="00F2602C">
        <w:rPr>
          <w:rFonts w:cs="Times New Roman"/>
          <w:i/>
          <w:iCs/>
          <w:noProof/>
          <w:szCs w:val="24"/>
        </w:rPr>
        <w:t>Managing the mosaic: Diversity in action</w:t>
      </w:r>
      <w:r w:rsidRPr="00F2602C">
        <w:rPr>
          <w:rFonts w:cs="Times New Roman"/>
          <w:noProof/>
          <w:szCs w:val="24"/>
        </w:rPr>
        <w:t>. Institute of Personnel and Development.</w:t>
      </w:r>
    </w:p>
    <w:p w14:paraId="6C810542"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Harris, C., Josephson, B., Kessier, B., &amp; Landoll, C. (2021). </w:t>
      </w:r>
      <w:r w:rsidRPr="00F2602C">
        <w:rPr>
          <w:rFonts w:cs="Times New Roman"/>
          <w:i/>
          <w:iCs/>
          <w:noProof/>
          <w:szCs w:val="24"/>
        </w:rPr>
        <w:t>Embracing the Complexity of DEI</w:t>
      </w:r>
      <w:r w:rsidRPr="00F2602C">
        <w:rPr>
          <w:rFonts w:cs="Times New Roman"/>
          <w:noProof/>
          <w:szCs w:val="24"/>
        </w:rPr>
        <w:t>. AACSB Insights. https://www.aacsb.edu/insights/articles/2021/12/embracing-the-complexity-of-dei</w:t>
      </w:r>
    </w:p>
    <w:p w14:paraId="2CB3A9F1"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Hunt, V., Dixon-Fyle, S., Prince, S., &amp; Dolan, K. (2020). Diversity wins. In </w:t>
      </w:r>
      <w:r w:rsidRPr="00F2602C">
        <w:rPr>
          <w:rFonts w:cs="Times New Roman"/>
          <w:i/>
          <w:iCs/>
          <w:noProof/>
          <w:szCs w:val="24"/>
        </w:rPr>
        <w:t>How inclusion matters</w:t>
      </w:r>
      <w:r w:rsidRPr="00F2602C">
        <w:rPr>
          <w:rFonts w:cs="Times New Roman"/>
          <w:noProof/>
          <w:szCs w:val="24"/>
        </w:rPr>
        <w:t xml:space="preserve"> (Issue May).</w:t>
      </w:r>
    </w:p>
    <w:p w14:paraId="038B4ADC"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Lee, B., &amp; Saunders, M. N. K. (2017). </w:t>
      </w:r>
      <w:r w:rsidRPr="00F2602C">
        <w:rPr>
          <w:rFonts w:cs="Times New Roman"/>
          <w:i/>
          <w:iCs/>
          <w:noProof/>
          <w:szCs w:val="24"/>
        </w:rPr>
        <w:t>Conducting Case Study Reasearch for Business and Management Students</w:t>
      </w:r>
      <w:r w:rsidRPr="00F2602C">
        <w:rPr>
          <w:rFonts w:cs="Times New Roman"/>
          <w:noProof/>
          <w:szCs w:val="24"/>
        </w:rPr>
        <w:t>. SAGE Publications Inc.</w:t>
      </w:r>
    </w:p>
    <w:p w14:paraId="11C39844"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Pelled, L. H., Ledford, G. E., &amp; Mohrman, S. A. (1999). Demographic dissimilarity and workplace inclusion. </w:t>
      </w:r>
      <w:r w:rsidRPr="00F2602C">
        <w:rPr>
          <w:rFonts w:cs="Times New Roman"/>
          <w:i/>
          <w:iCs/>
          <w:noProof/>
          <w:szCs w:val="24"/>
        </w:rPr>
        <w:t>Journal of Management Studies</w:t>
      </w:r>
      <w:r w:rsidRPr="00F2602C">
        <w:rPr>
          <w:rFonts w:cs="Times New Roman"/>
          <w:noProof/>
          <w:szCs w:val="24"/>
        </w:rPr>
        <w:t xml:space="preserve">, </w:t>
      </w:r>
      <w:r w:rsidRPr="00F2602C">
        <w:rPr>
          <w:rFonts w:cs="Times New Roman"/>
          <w:i/>
          <w:iCs/>
          <w:noProof/>
          <w:szCs w:val="24"/>
        </w:rPr>
        <w:t>36</w:t>
      </w:r>
      <w:r w:rsidRPr="00F2602C">
        <w:rPr>
          <w:rFonts w:cs="Times New Roman"/>
          <w:noProof/>
          <w:szCs w:val="24"/>
        </w:rPr>
        <w:t>(7), 1013–1031. https://doi.org/10.1111/1467-6486.00168</w:t>
      </w:r>
    </w:p>
    <w:p w14:paraId="17B520FA" w14:textId="77777777" w:rsidR="00F2602C" w:rsidRPr="00F2602C" w:rsidRDefault="00F2602C" w:rsidP="00F2602C">
      <w:pPr>
        <w:widowControl w:val="0"/>
        <w:autoSpaceDE w:val="0"/>
        <w:autoSpaceDN w:val="0"/>
        <w:adjustRightInd w:val="0"/>
        <w:ind w:left="480" w:hanging="480"/>
        <w:rPr>
          <w:rFonts w:cs="Times New Roman"/>
          <w:noProof/>
          <w:szCs w:val="24"/>
        </w:rPr>
      </w:pPr>
      <w:r w:rsidRPr="00F2602C">
        <w:rPr>
          <w:rFonts w:cs="Times New Roman"/>
          <w:noProof/>
          <w:szCs w:val="24"/>
        </w:rPr>
        <w:t xml:space="preserve">Stake, R. (1995). </w:t>
      </w:r>
      <w:r w:rsidRPr="00F2602C">
        <w:rPr>
          <w:rFonts w:cs="Times New Roman"/>
          <w:i/>
          <w:iCs/>
          <w:noProof/>
          <w:szCs w:val="24"/>
        </w:rPr>
        <w:t>The Art of Case Study Research</w:t>
      </w:r>
      <w:r w:rsidRPr="00F2602C">
        <w:rPr>
          <w:rFonts w:cs="Times New Roman"/>
          <w:noProof/>
          <w:szCs w:val="24"/>
        </w:rPr>
        <w:t xml:space="preserve">. Sage Publications Sage CA: Thousand Oaks, </w:t>
      </w:r>
      <w:r w:rsidRPr="00F2602C">
        <w:rPr>
          <w:rFonts w:cs="Times New Roman"/>
          <w:noProof/>
          <w:szCs w:val="24"/>
        </w:rPr>
        <w:lastRenderedPageBreak/>
        <w:t>CA.</w:t>
      </w:r>
    </w:p>
    <w:p w14:paraId="1ABEDA1C" w14:textId="77777777" w:rsidR="00F2602C" w:rsidRPr="00F2602C" w:rsidRDefault="00F2602C" w:rsidP="00F2602C">
      <w:pPr>
        <w:widowControl w:val="0"/>
        <w:autoSpaceDE w:val="0"/>
        <w:autoSpaceDN w:val="0"/>
        <w:adjustRightInd w:val="0"/>
        <w:ind w:left="480" w:hanging="480"/>
        <w:rPr>
          <w:rFonts w:cs="Times New Roman"/>
          <w:noProof/>
        </w:rPr>
      </w:pPr>
      <w:r w:rsidRPr="00F2602C">
        <w:rPr>
          <w:rFonts w:cs="Times New Roman"/>
          <w:noProof/>
          <w:szCs w:val="24"/>
        </w:rPr>
        <w:t xml:space="preserve">Yin, R. K. (2018). </w:t>
      </w:r>
      <w:r w:rsidRPr="00F2602C">
        <w:rPr>
          <w:rFonts w:cs="Times New Roman"/>
          <w:i/>
          <w:iCs/>
          <w:noProof/>
          <w:szCs w:val="24"/>
        </w:rPr>
        <w:t>Case Study Research and Applications Design and Methods</w:t>
      </w:r>
      <w:r w:rsidRPr="00F2602C">
        <w:rPr>
          <w:rFonts w:cs="Times New Roman"/>
          <w:noProof/>
          <w:szCs w:val="24"/>
        </w:rPr>
        <w:t xml:space="preserve"> (6th Editio). SAGE Publications Inc.</w:t>
      </w:r>
    </w:p>
    <w:p w14:paraId="52329567" w14:textId="6E7CA9DE" w:rsidR="007771AA" w:rsidRDefault="00F2602C" w:rsidP="007771AA">
      <w:pPr>
        <w:rPr>
          <w:rFonts w:cs="Times New Roman"/>
          <w:b/>
          <w:bCs/>
          <w:szCs w:val="24"/>
        </w:rPr>
      </w:pPr>
      <w:r>
        <w:rPr>
          <w:rFonts w:cs="Times New Roman"/>
          <w:b/>
          <w:bCs/>
          <w:szCs w:val="24"/>
        </w:rPr>
        <w:fldChar w:fldCharType="end"/>
      </w:r>
    </w:p>
    <w:sectPr w:rsidR="007771A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1EB5" w14:textId="77777777" w:rsidR="00903CC1" w:rsidRDefault="00903CC1" w:rsidP="001535CC">
      <w:pPr>
        <w:spacing w:after="0" w:line="240" w:lineRule="auto"/>
      </w:pPr>
      <w:r>
        <w:separator/>
      </w:r>
    </w:p>
  </w:endnote>
  <w:endnote w:type="continuationSeparator" w:id="0">
    <w:p w14:paraId="40446F59" w14:textId="77777777" w:rsidR="00903CC1" w:rsidRDefault="00903CC1" w:rsidP="0015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643B" w14:textId="77777777" w:rsidR="00903CC1" w:rsidRDefault="00903CC1" w:rsidP="001535CC">
      <w:pPr>
        <w:spacing w:after="0" w:line="240" w:lineRule="auto"/>
      </w:pPr>
      <w:r>
        <w:separator/>
      </w:r>
    </w:p>
  </w:footnote>
  <w:footnote w:type="continuationSeparator" w:id="0">
    <w:p w14:paraId="5D2A8A10" w14:textId="77777777" w:rsidR="00903CC1" w:rsidRDefault="00903CC1" w:rsidP="0015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797193"/>
      <w:docPartObj>
        <w:docPartGallery w:val="Page Numbers (Top of Page)"/>
        <w:docPartUnique/>
      </w:docPartObj>
    </w:sdtPr>
    <w:sdtEndPr>
      <w:rPr>
        <w:noProof/>
      </w:rPr>
    </w:sdtEndPr>
    <w:sdtContent>
      <w:p w14:paraId="0AC0B1BA" w14:textId="1F4BC9EE" w:rsidR="00CD53DA" w:rsidRDefault="00CD53DA" w:rsidP="005258F7">
        <w:pPr>
          <w:pStyle w:val="Header"/>
          <w:ind w:left="1800" w:firstLine="4680"/>
          <w:jc w:val="center"/>
        </w:pPr>
        <w:r>
          <w:t>Case studies DEI</w:t>
        </w:r>
        <w:r w:rsidR="005258F7">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2F149771" w14:textId="5BD80EE8" w:rsidR="001535CC" w:rsidRDefault="001535CC" w:rsidP="00D872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4E25"/>
    <w:multiLevelType w:val="hybridMultilevel"/>
    <w:tmpl w:val="176CF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26F5A"/>
    <w:multiLevelType w:val="multilevel"/>
    <w:tmpl w:val="2AE85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52057"/>
    <w:multiLevelType w:val="hybridMultilevel"/>
    <w:tmpl w:val="CF046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3E"/>
    <w:rsid w:val="00005D2F"/>
    <w:rsid w:val="000276F2"/>
    <w:rsid w:val="0003301A"/>
    <w:rsid w:val="00033753"/>
    <w:rsid w:val="0004262B"/>
    <w:rsid w:val="000474F8"/>
    <w:rsid w:val="00057913"/>
    <w:rsid w:val="00061448"/>
    <w:rsid w:val="00064EC0"/>
    <w:rsid w:val="00065D56"/>
    <w:rsid w:val="00067712"/>
    <w:rsid w:val="00075778"/>
    <w:rsid w:val="000806B8"/>
    <w:rsid w:val="00081DF5"/>
    <w:rsid w:val="00084268"/>
    <w:rsid w:val="000874FA"/>
    <w:rsid w:val="00090A3E"/>
    <w:rsid w:val="00095ED1"/>
    <w:rsid w:val="000976DC"/>
    <w:rsid w:val="000B3B73"/>
    <w:rsid w:val="000C7D0E"/>
    <w:rsid w:val="000D68C1"/>
    <w:rsid w:val="0012533B"/>
    <w:rsid w:val="00134CF6"/>
    <w:rsid w:val="001377D2"/>
    <w:rsid w:val="001535CC"/>
    <w:rsid w:val="00154059"/>
    <w:rsid w:val="00156BF1"/>
    <w:rsid w:val="001577C6"/>
    <w:rsid w:val="00161F95"/>
    <w:rsid w:val="00171ABB"/>
    <w:rsid w:val="00174F03"/>
    <w:rsid w:val="00186B1E"/>
    <w:rsid w:val="00186CAD"/>
    <w:rsid w:val="00190896"/>
    <w:rsid w:val="00191308"/>
    <w:rsid w:val="001924DE"/>
    <w:rsid w:val="001A1BE7"/>
    <w:rsid w:val="001A24AC"/>
    <w:rsid w:val="001A738B"/>
    <w:rsid w:val="001A7E93"/>
    <w:rsid w:val="001B382F"/>
    <w:rsid w:val="001C29DA"/>
    <w:rsid w:val="001C5432"/>
    <w:rsid w:val="001C689D"/>
    <w:rsid w:val="001E1563"/>
    <w:rsid w:val="001F0E0E"/>
    <w:rsid w:val="00200DC4"/>
    <w:rsid w:val="0020797E"/>
    <w:rsid w:val="00210214"/>
    <w:rsid w:val="00211397"/>
    <w:rsid w:val="00214350"/>
    <w:rsid w:val="0022067B"/>
    <w:rsid w:val="00220AD8"/>
    <w:rsid w:val="0022217A"/>
    <w:rsid w:val="0022590E"/>
    <w:rsid w:val="00225DF1"/>
    <w:rsid w:val="002353B5"/>
    <w:rsid w:val="00240754"/>
    <w:rsid w:val="0024288E"/>
    <w:rsid w:val="00245F96"/>
    <w:rsid w:val="00251189"/>
    <w:rsid w:val="00260887"/>
    <w:rsid w:val="0026345F"/>
    <w:rsid w:val="00263701"/>
    <w:rsid w:val="002712D8"/>
    <w:rsid w:val="0027398D"/>
    <w:rsid w:val="00273B4A"/>
    <w:rsid w:val="00285D69"/>
    <w:rsid w:val="00285EB9"/>
    <w:rsid w:val="002A3F95"/>
    <w:rsid w:val="002A5EC2"/>
    <w:rsid w:val="002B3B03"/>
    <w:rsid w:val="002B3C4F"/>
    <w:rsid w:val="002C491E"/>
    <w:rsid w:val="002C4B49"/>
    <w:rsid w:val="002D1891"/>
    <w:rsid w:val="002D48DC"/>
    <w:rsid w:val="002E0B67"/>
    <w:rsid w:val="002E1234"/>
    <w:rsid w:val="002E2C38"/>
    <w:rsid w:val="002E3181"/>
    <w:rsid w:val="002F7C2C"/>
    <w:rsid w:val="003022CF"/>
    <w:rsid w:val="003031A0"/>
    <w:rsid w:val="003036F8"/>
    <w:rsid w:val="00304199"/>
    <w:rsid w:val="0031314F"/>
    <w:rsid w:val="00314743"/>
    <w:rsid w:val="00333E50"/>
    <w:rsid w:val="00334CAD"/>
    <w:rsid w:val="00345E7D"/>
    <w:rsid w:val="00351FF8"/>
    <w:rsid w:val="003538A0"/>
    <w:rsid w:val="00354B8A"/>
    <w:rsid w:val="0035777F"/>
    <w:rsid w:val="00367237"/>
    <w:rsid w:val="00371665"/>
    <w:rsid w:val="00374D9C"/>
    <w:rsid w:val="0037635E"/>
    <w:rsid w:val="00380231"/>
    <w:rsid w:val="00386F73"/>
    <w:rsid w:val="003921E2"/>
    <w:rsid w:val="003A1BE2"/>
    <w:rsid w:val="003A2F34"/>
    <w:rsid w:val="003B4D31"/>
    <w:rsid w:val="003B5456"/>
    <w:rsid w:val="003B6884"/>
    <w:rsid w:val="003D6B1A"/>
    <w:rsid w:val="003D7EB3"/>
    <w:rsid w:val="003E2A13"/>
    <w:rsid w:val="003E40B0"/>
    <w:rsid w:val="003E5210"/>
    <w:rsid w:val="003E5AA2"/>
    <w:rsid w:val="003F13F9"/>
    <w:rsid w:val="003F27ED"/>
    <w:rsid w:val="003F4CAD"/>
    <w:rsid w:val="003F6319"/>
    <w:rsid w:val="00403F10"/>
    <w:rsid w:val="0040414D"/>
    <w:rsid w:val="0042465F"/>
    <w:rsid w:val="00426F15"/>
    <w:rsid w:val="004335E5"/>
    <w:rsid w:val="0044092D"/>
    <w:rsid w:val="00446994"/>
    <w:rsid w:val="00447CF0"/>
    <w:rsid w:val="00451D47"/>
    <w:rsid w:val="00452075"/>
    <w:rsid w:val="00462000"/>
    <w:rsid w:val="00463529"/>
    <w:rsid w:val="004710BE"/>
    <w:rsid w:val="0048308D"/>
    <w:rsid w:val="004869F8"/>
    <w:rsid w:val="00493FB4"/>
    <w:rsid w:val="004A093D"/>
    <w:rsid w:val="004A2760"/>
    <w:rsid w:val="004A3FAA"/>
    <w:rsid w:val="004A4ECE"/>
    <w:rsid w:val="004B7893"/>
    <w:rsid w:val="004C49DC"/>
    <w:rsid w:val="004C550D"/>
    <w:rsid w:val="004E0D0D"/>
    <w:rsid w:val="004E5355"/>
    <w:rsid w:val="004F12C1"/>
    <w:rsid w:val="00503E9B"/>
    <w:rsid w:val="00504F0E"/>
    <w:rsid w:val="005146F0"/>
    <w:rsid w:val="00520148"/>
    <w:rsid w:val="005237E9"/>
    <w:rsid w:val="005258F7"/>
    <w:rsid w:val="00526F19"/>
    <w:rsid w:val="005277CC"/>
    <w:rsid w:val="00531592"/>
    <w:rsid w:val="00532A23"/>
    <w:rsid w:val="0053374B"/>
    <w:rsid w:val="005357E1"/>
    <w:rsid w:val="00540199"/>
    <w:rsid w:val="00543F94"/>
    <w:rsid w:val="00544F90"/>
    <w:rsid w:val="00545C3E"/>
    <w:rsid w:val="00552964"/>
    <w:rsid w:val="00557A88"/>
    <w:rsid w:val="0056063F"/>
    <w:rsid w:val="00564B09"/>
    <w:rsid w:val="005672EA"/>
    <w:rsid w:val="00576ACA"/>
    <w:rsid w:val="005873AA"/>
    <w:rsid w:val="005A205B"/>
    <w:rsid w:val="005A3ADD"/>
    <w:rsid w:val="005C5A7B"/>
    <w:rsid w:val="005D5965"/>
    <w:rsid w:val="005E3B0A"/>
    <w:rsid w:val="005E74C4"/>
    <w:rsid w:val="00603F46"/>
    <w:rsid w:val="00613A1B"/>
    <w:rsid w:val="00615979"/>
    <w:rsid w:val="006210D5"/>
    <w:rsid w:val="00626E8B"/>
    <w:rsid w:val="006302E7"/>
    <w:rsid w:val="00632218"/>
    <w:rsid w:val="006335F1"/>
    <w:rsid w:val="006574C6"/>
    <w:rsid w:val="0067627F"/>
    <w:rsid w:val="00682645"/>
    <w:rsid w:val="00682EFC"/>
    <w:rsid w:val="0069717B"/>
    <w:rsid w:val="006A149B"/>
    <w:rsid w:val="006A2B35"/>
    <w:rsid w:val="006A3198"/>
    <w:rsid w:val="006A6D87"/>
    <w:rsid w:val="006B776A"/>
    <w:rsid w:val="006C6A32"/>
    <w:rsid w:val="006E4B97"/>
    <w:rsid w:val="006F5FC2"/>
    <w:rsid w:val="007012ED"/>
    <w:rsid w:val="0070554A"/>
    <w:rsid w:val="00714564"/>
    <w:rsid w:val="00722AFE"/>
    <w:rsid w:val="00723B35"/>
    <w:rsid w:val="00726CEA"/>
    <w:rsid w:val="00730F64"/>
    <w:rsid w:val="00732D14"/>
    <w:rsid w:val="007359C3"/>
    <w:rsid w:val="00735D7D"/>
    <w:rsid w:val="007364E5"/>
    <w:rsid w:val="007442EB"/>
    <w:rsid w:val="007450DD"/>
    <w:rsid w:val="00745310"/>
    <w:rsid w:val="00746156"/>
    <w:rsid w:val="007555DC"/>
    <w:rsid w:val="007569C6"/>
    <w:rsid w:val="00757EE6"/>
    <w:rsid w:val="00761572"/>
    <w:rsid w:val="007621D8"/>
    <w:rsid w:val="00770704"/>
    <w:rsid w:val="00770F47"/>
    <w:rsid w:val="00771FEF"/>
    <w:rsid w:val="0077388B"/>
    <w:rsid w:val="007771AA"/>
    <w:rsid w:val="0078106C"/>
    <w:rsid w:val="007A59FE"/>
    <w:rsid w:val="007B5E3D"/>
    <w:rsid w:val="007B6707"/>
    <w:rsid w:val="007C43C5"/>
    <w:rsid w:val="007C6375"/>
    <w:rsid w:val="007D02A2"/>
    <w:rsid w:val="007D0BD1"/>
    <w:rsid w:val="007D2C34"/>
    <w:rsid w:val="007D620F"/>
    <w:rsid w:val="007F4FDE"/>
    <w:rsid w:val="00814D09"/>
    <w:rsid w:val="0082466E"/>
    <w:rsid w:val="00824ADB"/>
    <w:rsid w:val="00835223"/>
    <w:rsid w:val="0083790A"/>
    <w:rsid w:val="00842EBE"/>
    <w:rsid w:val="00845847"/>
    <w:rsid w:val="00845CFB"/>
    <w:rsid w:val="008477F6"/>
    <w:rsid w:val="00852DE4"/>
    <w:rsid w:val="00856C3D"/>
    <w:rsid w:val="00856D5A"/>
    <w:rsid w:val="00856E18"/>
    <w:rsid w:val="00862BB9"/>
    <w:rsid w:val="00874108"/>
    <w:rsid w:val="00895FBC"/>
    <w:rsid w:val="00897BED"/>
    <w:rsid w:val="008A61F7"/>
    <w:rsid w:val="008D1337"/>
    <w:rsid w:val="008D1A1D"/>
    <w:rsid w:val="008D26AD"/>
    <w:rsid w:val="008D4D83"/>
    <w:rsid w:val="008E5781"/>
    <w:rsid w:val="008E5B45"/>
    <w:rsid w:val="008F60A4"/>
    <w:rsid w:val="00903CC1"/>
    <w:rsid w:val="00910A1D"/>
    <w:rsid w:val="009134C8"/>
    <w:rsid w:val="00924250"/>
    <w:rsid w:val="00942EBA"/>
    <w:rsid w:val="009432DD"/>
    <w:rsid w:val="00955007"/>
    <w:rsid w:val="009602B3"/>
    <w:rsid w:val="0096363B"/>
    <w:rsid w:val="009729DF"/>
    <w:rsid w:val="00972BF0"/>
    <w:rsid w:val="00981193"/>
    <w:rsid w:val="00994E99"/>
    <w:rsid w:val="009A16F2"/>
    <w:rsid w:val="009A6EBD"/>
    <w:rsid w:val="009C03A8"/>
    <w:rsid w:val="009C1A7C"/>
    <w:rsid w:val="009C322E"/>
    <w:rsid w:val="009C7881"/>
    <w:rsid w:val="009D15B4"/>
    <w:rsid w:val="009D230D"/>
    <w:rsid w:val="009D5CAB"/>
    <w:rsid w:val="009D7D74"/>
    <w:rsid w:val="009E4FC5"/>
    <w:rsid w:val="009E52C8"/>
    <w:rsid w:val="009F15A0"/>
    <w:rsid w:val="009F17C2"/>
    <w:rsid w:val="009F50F8"/>
    <w:rsid w:val="00A11BD7"/>
    <w:rsid w:val="00A1546B"/>
    <w:rsid w:val="00A274D4"/>
    <w:rsid w:val="00A437C6"/>
    <w:rsid w:val="00A447F1"/>
    <w:rsid w:val="00A45A44"/>
    <w:rsid w:val="00A54226"/>
    <w:rsid w:val="00A55140"/>
    <w:rsid w:val="00A60D4C"/>
    <w:rsid w:val="00A64FE6"/>
    <w:rsid w:val="00A65C45"/>
    <w:rsid w:val="00A674C9"/>
    <w:rsid w:val="00A721C3"/>
    <w:rsid w:val="00A808C9"/>
    <w:rsid w:val="00A976E1"/>
    <w:rsid w:val="00AA45A0"/>
    <w:rsid w:val="00AA6456"/>
    <w:rsid w:val="00AB72C0"/>
    <w:rsid w:val="00AC18A5"/>
    <w:rsid w:val="00AE1480"/>
    <w:rsid w:val="00AE16CD"/>
    <w:rsid w:val="00AE5854"/>
    <w:rsid w:val="00AF6673"/>
    <w:rsid w:val="00AF6BC0"/>
    <w:rsid w:val="00B0282F"/>
    <w:rsid w:val="00B02A30"/>
    <w:rsid w:val="00B07032"/>
    <w:rsid w:val="00B078EC"/>
    <w:rsid w:val="00B1010D"/>
    <w:rsid w:val="00B244C5"/>
    <w:rsid w:val="00B41E6F"/>
    <w:rsid w:val="00B534D2"/>
    <w:rsid w:val="00B54151"/>
    <w:rsid w:val="00B61FE5"/>
    <w:rsid w:val="00B644CD"/>
    <w:rsid w:val="00B67B41"/>
    <w:rsid w:val="00B70586"/>
    <w:rsid w:val="00B72F10"/>
    <w:rsid w:val="00B776CD"/>
    <w:rsid w:val="00B82965"/>
    <w:rsid w:val="00B858B2"/>
    <w:rsid w:val="00B860AC"/>
    <w:rsid w:val="00B96DDD"/>
    <w:rsid w:val="00BA2A94"/>
    <w:rsid w:val="00BA2EFD"/>
    <w:rsid w:val="00BA5888"/>
    <w:rsid w:val="00BA696C"/>
    <w:rsid w:val="00BA6BED"/>
    <w:rsid w:val="00BA76C8"/>
    <w:rsid w:val="00BC0199"/>
    <w:rsid w:val="00BC4FAD"/>
    <w:rsid w:val="00BD0743"/>
    <w:rsid w:val="00BD0DBB"/>
    <w:rsid w:val="00BD62B2"/>
    <w:rsid w:val="00C00446"/>
    <w:rsid w:val="00C04972"/>
    <w:rsid w:val="00C066AC"/>
    <w:rsid w:val="00C070E0"/>
    <w:rsid w:val="00C102B6"/>
    <w:rsid w:val="00C10304"/>
    <w:rsid w:val="00C12019"/>
    <w:rsid w:val="00C16EBF"/>
    <w:rsid w:val="00C20865"/>
    <w:rsid w:val="00C246FF"/>
    <w:rsid w:val="00C31694"/>
    <w:rsid w:val="00C32469"/>
    <w:rsid w:val="00C40903"/>
    <w:rsid w:val="00C40C49"/>
    <w:rsid w:val="00C464D5"/>
    <w:rsid w:val="00C50686"/>
    <w:rsid w:val="00C54E3F"/>
    <w:rsid w:val="00C6289F"/>
    <w:rsid w:val="00C654D1"/>
    <w:rsid w:val="00C71D95"/>
    <w:rsid w:val="00C73F12"/>
    <w:rsid w:val="00C7450E"/>
    <w:rsid w:val="00C9550B"/>
    <w:rsid w:val="00C95A5D"/>
    <w:rsid w:val="00CA3D19"/>
    <w:rsid w:val="00CC0BB2"/>
    <w:rsid w:val="00CC6EE8"/>
    <w:rsid w:val="00CC70C0"/>
    <w:rsid w:val="00CC7A12"/>
    <w:rsid w:val="00CC7B8B"/>
    <w:rsid w:val="00CD0127"/>
    <w:rsid w:val="00CD0D29"/>
    <w:rsid w:val="00CD1C74"/>
    <w:rsid w:val="00CD53DA"/>
    <w:rsid w:val="00CE1C5D"/>
    <w:rsid w:val="00CE235E"/>
    <w:rsid w:val="00CE67A0"/>
    <w:rsid w:val="00CF1810"/>
    <w:rsid w:val="00CF3856"/>
    <w:rsid w:val="00CF5FAD"/>
    <w:rsid w:val="00D04DB7"/>
    <w:rsid w:val="00D069EF"/>
    <w:rsid w:val="00D15174"/>
    <w:rsid w:val="00D15830"/>
    <w:rsid w:val="00D16806"/>
    <w:rsid w:val="00D20288"/>
    <w:rsid w:val="00D46E39"/>
    <w:rsid w:val="00D52B30"/>
    <w:rsid w:val="00D627DD"/>
    <w:rsid w:val="00D6506A"/>
    <w:rsid w:val="00D657C6"/>
    <w:rsid w:val="00D6732C"/>
    <w:rsid w:val="00D6782A"/>
    <w:rsid w:val="00D7075E"/>
    <w:rsid w:val="00D872D6"/>
    <w:rsid w:val="00D92FF4"/>
    <w:rsid w:val="00DA4324"/>
    <w:rsid w:val="00DC2648"/>
    <w:rsid w:val="00DC3628"/>
    <w:rsid w:val="00DC3E11"/>
    <w:rsid w:val="00DC52FD"/>
    <w:rsid w:val="00DD0801"/>
    <w:rsid w:val="00DD24AB"/>
    <w:rsid w:val="00DD6AC8"/>
    <w:rsid w:val="00DD752A"/>
    <w:rsid w:val="00DE3C3B"/>
    <w:rsid w:val="00DE6D24"/>
    <w:rsid w:val="00DF5139"/>
    <w:rsid w:val="00E03BB7"/>
    <w:rsid w:val="00E10E8E"/>
    <w:rsid w:val="00E12981"/>
    <w:rsid w:val="00E14F24"/>
    <w:rsid w:val="00E256E9"/>
    <w:rsid w:val="00E27F8D"/>
    <w:rsid w:val="00E34528"/>
    <w:rsid w:val="00E4536C"/>
    <w:rsid w:val="00E54B2F"/>
    <w:rsid w:val="00E55623"/>
    <w:rsid w:val="00E5789D"/>
    <w:rsid w:val="00E578C3"/>
    <w:rsid w:val="00E61D2F"/>
    <w:rsid w:val="00E66F4C"/>
    <w:rsid w:val="00E712B2"/>
    <w:rsid w:val="00E81EF6"/>
    <w:rsid w:val="00E8228B"/>
    <w:rsid w:val="00E828CA"/>
    <w:rsid w:val="00E9059A"/>
    <w:rsid w:val="00E90B89"/>
    <w:rsid w:val="00E95206"/>
    <w:rsid w:val="00ED6D0E"/>
    <w:rsid w:val="00EE19CF"/>
    <w:rsid w:val="00EE3037"/>
    <w:rsid w:val="00EE503A"/>
    <w:rsid w:val="00EE6707"/>
    <w:rsid w:val="00EE68FB"/>
    <w:rsid w:val="00EE7A26"/>
    <w:rsid w:val="00EF7674"/>
    <w:rsid w:val="00F03669"/>
    <w:rsid w:val="00F22688"/>
    <w:rsid w:val="00F2602C"/>
    <w:rsid w:val="00F27549"/>
    <w:rsid w:val="00F5384B"/>
    <w:rsid w:val="00F54389"/>
    <w:rsid w:val="00F61235"/>
    <w:rsid w:val="00F61A89"/>
    <w:rsid w:val="00F61AE7"/>
    <w:rsid w:val="00F639AB"/>
    <w:rsid w:val="00F6435E"/>
    <w:rsid w:val="00F65076"/>
    <w:rsid w:val="00F75565"/>
    <w:rsid w:val="00F837D4"/>
    <w:rsid w:val="00F837D5"/>
    <w:rsid w:val="00F84DDC"/>
    <w:rsid w:val="00F94342"/>
    <w:rsid w:val="00FA050E"/>
    <w:rsid w:val="00FA45C8"/>
    <w:rsid w:val="00FA7B70"/>
    <w:rsid w:val="00FB01A2"/>
    <w:rsid w:val="00FB59FB"/>
    <w:rsid w:val="00FC462A"/>
    <w:rsid w:val="00FD10BE"/>
    <w:rsid w:val="00FD19D5"/>
    <w:rsid w:val="00FD42D7"/>
    <w:rsid w:val="00FE22B9"/>
    <w:rsid w:val="00FE2359"/>
    <w:rsid w:val="00FE4DF0"/>
    <w:rsid w:val="00FF3BA2"/>
    <w:rsid w:val="00FF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887F4"/>
  <w15:chartTrackingRefBased/>
  <w15:docId w15:val="{6487EE80-FC7E-4AB0-9A83-13944386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355"/>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border">
    <w:name w:val="word-border"/>
    <w:basedOn w:val="DefaultParagraphFont"/>
    <w:rsid w:val="00BC4FAD"/>
  </w:style>
  <w:style w:type="character" w:customStyle="1" w:styleId="hgkelc">
    <w:name w:val="hgkelc"/>
    <w:basedOn w:val="DefaultParagraphFont"/>
    <w:rsid w:val="008D4D83"/>
  </w:style>
  <w:style w:type="paragraph" w:styleId="ListParagraph">
    <w:name w:val="List Paragraph"/>
    <w:basedOn w:val="Normal"/>
    <w:uiPriority w:val="34"/>
    <w:qFormat/>
    <w:rsid w:val="009A6EBD"/>
    <w:pPr>
      <w:ind w:left="720"/>
      <w:contextualSpacing/>
    </w:pPr>
  </w:style>
  <w:style w:type="character" w:styleId="Hyperlink">
    <w:name w:val="Hyperlink"/>
    <w:basedOn w:val="DefaultParagraphFont"/>
    <w:uiPriority w:val="99"/>
    <w:unhideWhenUsed/>
    <w:rsid w:val="005C5A7B"/>
    <w:rPr>
      <w:color w:val="0563C1" w:themeColor="hyperlink"/>
      <w:u w:val="single"/>
    </w:rPr>
  </w:style>
  <w:style w:type="character" w:styleId="UnresolvedMention">
    <w:name w:val="Unresolved Mention"/>
    <w:basedOn w:val="DefaultParagraphFont"/>
    <w:uiPriority w:val="99"/>
    <w:semiHidden/>
    <w:unhideWhenUsed/>
    <w:rsid w:val="005C5A7B"/>
    <w:rPr>
      <w:color w:val="605E5C"/>
      <w:shd w:val="clear" w:color="auto" w:fill="E1DFDD"/>
    </w:rPr>
  </w:style>
  <w:style w:type="paragraph" w:styleId="BalloonText">
    <w:name w:val="Balloon Text"/>
    <w:basedOn w:val="Normal"/>
    <w:link w:val="BalloonTextChar"/>
    <w:uiPriority w:val="99"/>
    <w:semiHidden/>
    <w:unhideWhenUsed/>
    <w:rsid w:val="00483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8D"/>
    <w:rPr>
      <w:rFonts w:ascii="Segoe UI" w:hAnsi="Segoe UI" w:cs="Segoe UI"/>
      <w:sz w:val="18"/>
      <w:szCs w:val="18"/>
    </w:rPr>
  </w:style>
  <w:style w:type="character" w:styleId="FollowedHyperlink">
    <w:name w:val="FollowedHyperlink"/>
    <w:basedOn w:val="DefaultParagraphFont"/>
    <w:uiPriority w:val="99"/>
    <w:semiHidden/>
    <w:unhideWhenUsed/>
    <w:rsid w:val="004869F8"/>
    <w:rPr>
      <w:color w:val="954F72" w:themeColor="followedHyperlink"/>
      <w:u w:val="single"/>
    </w:rPr>
  </w:style>
  <w:style w:type="paragraph" w:styleId="Header">
    <w:name w:val="header"/>
    <w:basedOn w:val="Normal"/>
    <w:link w:val="HeaderChar"/>
    <w:uiPriority w:val="99"/>
    <w:unhideWhenUsed/>
    <w:rsid w:val="00153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CC"/>
    <w:rPr>
      <w:rFonts w:ascii="Times New Roman" w:hAnsi="Times New Roman"/>
      <w:sz w:val="24"/>
    </w:rPr>
  </w:style>
  <w:style w:type="paragraph" w:styleId="Footer">
    <w:name w:val="footer"/>
    <w:basedOn w:val="Normal"/>
    <w:link w:val="FooterChar"/>
    <w:uiPriority w:val="99"/>
    <w:unhideWhenUsed/>
    <w:rsid w:val="00153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5CC"/>
    <w:rPr>
      <w:rFonts w:ascii="Times New Roman" w:hAnsi="Times New Roman"/>
      <w:sz w:val="24"/>
    </w:rPr>
  </w:style>
  <w:style w:type="paragraph" w:styleId="Title">
    <w:name w:val="Title"/>
    <w:basedOn w:val="Normal"/>
    <w:next w:val="Normal"/>
    <w:link w:val="TitleChar"/>
    <w:uiPriority w:val="10"/>
    <w:qFormat/>
    <w:rsid w:val="00972B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B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1389">
      <w:bodyDiv w:val="1"/>
      <w:marLeft w:val="0"/>
      <w:marRight w:val="0"/>
      <w:marTop w:val="0"/>
      <w:marBottom w:val="0"/>
      <w:divBdr>
        <w:top w:val="none" w:sz="0" w:space="0" w:color="auto"/>
        <w:left w:val="none" w:sz="0" w:space="0" w:color="auto"/>
        <w:bottom w:val="none" w:sz="0" w:space="0" w:color="auto"/>
        <w:right w:val="none" w:sz="0" w:space="0" w:color="auto"/>
      </w:divBdr>
    </w:div>
    <w:div w:id="686832491">
      <w:bodyDiv w:val="1"/>
      <w:marLeft w:val="0"/>
      <w:marRight w:val="0"/>
      <w:marTop w:val="0"/>
      <w:marBottom w:val="0"/>
      <w:divBdr>
        <w:top w:val="none" w:sz="0" w:space="0" w:color="auto"/>
        <w:left w:val="none" w:sz="0" w:space="0" w:color="auto"/>
        <w:bottom w:val="none" w:sz="0" w:space="0" w:color="auto"/>
        <w:right w:val="none" w:sz="0" w:space="0" w:color="auto"/>
      </w:divBdr>
    </w:div>
    <w:div w:id="1212309226">
      <w:bodyDiv w:val="1"/>
      <w:marLeft w:val="0"/>
      <w:marRight w:val="0"/>
      <w:marTop w:val="0"/>
      <w:marBottom w:val="0"/>
      <w:divBdr>
        <w:top w:val="none" w:sz="0" w:space="0" w:color="auto"/>
        <w:left w:val="none" w:sz="0" w:space="0" w:color="auto"/>
        <w:bottom w:val="none" w:sz="0" w:space="0" w:color="auto"/>
        <w:right w:val="none" w:sz="0" w:space="0" w:color="auto"/>
      </w:divBdr>
    </w:div>
    <w:div w:id="13818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70DF190300A4989FC8EB94503347A" ma:contentTypeVersion="13" ma:contentTypeDescription="Create a new document." ma:contentTypeScope="" ma:versionID="bddc034bd72fee5c70e2b4f3436b8289">
  <xsd:schema xmlns:xsd="http://www.w3.org/2001/XMLSchema" xmlns:xs="http://www.w3.org/2001/XMLSchema" xmlns:p="http://schemas.microsoft.com/office/2006/metadata/properties" xmlns:ns3="0aa985e4-c001-4252-8007-aeb190888a9a" xmlns:ns4="f60708dc-b312-4414-8e4c-d1e2df07adcb" targetNamespace="http://schemas.microsoft.com/office/2006/metadata/properties" ma:root="true" ma:fieldsID="eef18a5a9b50bc1062a5be3ec1a1d9ed" ns3:_="" ns4:_="">
    <xsd:import namespace="0aa985e4-c001-4252-8007-aeb190888a9a"/>
    <xsd:import namespace="f60708dc-b312-4414-8e4c-d1e2df07ad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985e4-c001-4252-8007-aeb190888a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0708dc-b312-4414-8e4c-d1e2df07ad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253F5-48FD-4323-8EF7-601B5982E5AA}">
  <ds:schemaRefs>
    <ds:schemaRef ds:uri="http://schemas.microsoft.com/sharepoint/v3/contenttype/forms"/>
  </ds:schemaRefs>
</ds:datastoreItem>
</file>

<file path=customXml/itemProps2.xml><?xml version="1.0" encoding="utf-8"?>
<ds:datastoreItem xmlns:ds="http://schemas.openxmlformats.org/officeDocument/2006/customXml" ds:itemID="{EC84E584-2709-4BFD-90F7-F9423FC30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985e4-c001-4252-8007-aeb190888a9a"/>
    <ds:schemaRef ds:uri="f60708dc-b312-4414-8e4c-d1e2df07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66A42-530D-4AC9-B67B-E243A6FB94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25CFA-76AB-40B3-B6F8-313183DF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4636</Words>
  <Characters>26428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Baldo</dc:creator>
  <cp:keywords/>
  <dc:description/>
  <cp:lastModifiedBy>Carlos Baldo</cp:lastModifiedBy>
  <cp:revision>62</cp:revision>
  <cp:lastPrinted>2021-02-10T23:36:00Z</cp:lastPrinted>
  <dcterms:created xsi:type="dcterms:W3CDTF">2022-01-22T01:31:00Z</dcterms:created>
  <dcterms:modified xsi:type="dcterms:W3CDTF">2022-01-22T02:58:00Z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3dc4343b-48ce-36f4-8367-2bd9150505f0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0x0101009C870DF190300A4989FC8EB94503347A</vt:lpwstr>
  </property>
</Properties>
</file>