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B313" w14:textId="7690D9D4" w:rsidR="00845306" w:rsidRDefault="00845306" w:rsidP="00CC5636">
      <w:pPr>
        <w:jc w:val="both"/>
      </w:pPr>
    </w:p>
    <w:p w14:paraId="52A21B7A" w14:textId="510A68D7" w:rsidR="00327A48" w:rsidRPr="00A935D7" w:rsidRDefault="009D481E" w:rsidP="00A935D7">
      <w:pPr>
        <w:pStyle w:val="Heading3"/>
      </w:pPr>
      <w:r w:rsidRPr="00A935D7">
        <w:t>Meeting Students Where They Are: Teaching in a HyFlex Environment</w:t>
      </w:r>
    </w:p>
    <w:p w14:paraId="1764EC3B" w14:textId="77777777" w:rsidR="001B4E18" w:rsidRDefault="001B4E18" w:rsidP="00A935D7">
      <w:pPr>
        <w:spacing w:line="480" w:lineRule="auto"/>
        <w:jc w:val="center"/>
        <w:rPr>
          <w:u w:val="single"/>
        </w:rPr>
      </w:pPr>
    </w:p>
    <w:p w14:paraId="4F763E8B" w14:textId="2A64DAE3" w:rsidR="009D481E" w:rsidRPr="00A935D7" w:rsidRDefault="00012EA0" w:rsidP="00A935D7">
      <w:pPr>
        <w:spacing w:line="480" w:lineRule="auto"/>
        <w:jc w:val="center"/>
        <w:rPr>
          <w:b/>
          <w:bCs/>
        </w:rPr>
      </w:pPr>
      <w:r w:rsidRPr="00A935D7">
        <w:rPr>
          <w:b/>
          <w:bCs/>
        </w:rPr>
        <w:t>A</w:t>
      </w:r>
      <w:r w:rsidR="001B4E18" w:rsidRPr="00A935D7">
        <w:rPr>
          <w:b/>
          <w:bCs/>
        </w:rPr>
        <w:t>bstract</w:t>
      </w:r>
    </w:p>
    <w:p w14:paraId="7C9E1819" w14:textId="613F0DD8" w:rsidR="00012EA0" w:rsidRPr="00A935D7" w:rsidRDefault="00B3586C" w:rsidP="00A935D7">
      <w:pPr>
        <w:spacing w:line="480" w:lineRule="auto"/>
      </w:pPr>
      <w:r w:rsidRPr="00A935D7">
        <w:t>Even before the pandemic, technology enabled more flexible learning formats</w:t>
      </w:r>
      <w:r w:rsidR="001C2843" w:rsidRPr="00A935D7">
        <w:t>. S</w:t>
      </w:r>
      <w:r w:rsidRPr="00A935D7">
        <w:t xml:space="preserve">tudent interest in </w:t>
      </w:r>
      <w:r w:rsidR="001C2843" w:rsidRPr="00A935D7">
        <w:t>flexibility</w:t>
      </w:r>
      <w:r w:rsidR="00CA577A" w:rsidRPr="00A935D7">
        <w:t xml:space="preserve"> has only increased since. In this PDW, we discuss HyFlex classrooms, which allow students to </w:t>
      </w:r>
      <w:r w:rsidR="00422668" w:rsidRPr="00A935D7">
        <w:t xml:space="preserve">take classes in-person, synchronously online, or asynchronously as they choose. This format </w:t>
      </w:r>
      <w:r w:rsidR="00295D26" w:rsidRPr="00A935D7">
        <w:t xml:space="preserve">creates challenges for instructors who must ensure that students in any modality meet the same learning objectives. We will </w:t>
      </w:r>
      <w:r w:rsidR="00B651C3" w:rsidRPr="00A935D7">
        <w:t>explain the HyFlex format, share results of our research on faculty and student perceptions of the format, provide tips and t</w:t>
      </w:r>
      <w:r w:rsidR="001C2843" w:rsidRPr="00A935D7">
        <w:t xml:space="preserve">ools for improving HyFlex classes, and have an open discussion of the pitfalls and benefits of the HyFlex classroom. </w:t>
      </w:r>
    </w:p>
    <w:p w14:paraId="0DCF097F" w14:textId="7B04C2B5" w:rsidR="00012EA0" w:rsidRPr="00A935D7" w:rsidRDefault="00012EA0" w:rsidP="00A935D7">
      <w:pPr>
        <w:spacing w:line="480" w:lineRule="auto"/>
        <w:jc w:val="center"/>
      </w:pPr>
    </w:p>
    <w:p w14:paraId="00AEA0C7" w14:textId="264423F0" w:rsidR="00012EA0" w:rsidRPr="00A935D7" w:rsidRDefault="00012EA0" w:rsidP="00A935D7">
      <w:pPr>
        <w:spacing w:line="480" w:lineRule="auto"/>
      </w:pPr>
      <w:r w:rsidRPr="00A935D7">
        <w:rPr>
          <w:i/>
          <w:iCs/>
        </w:rPr>
        <w:t>Keywords</w:t>
      </w:r>
      <w:r w:rsidRPr="00A935D7">
        <w:t xml:space="preserve">: HyFlex, </w:t>
      </w:r>
      <w:r w:rsidR="00D86999" w:rsidRPr="00A935D7">
        <w:t xml:space="preserve">hybrid, </w:t>
      </w:r>
      <w:r w:rsidR="000C6A7C" w:rsidRPr="00A935D7">
        <w:t>Hypothes.is</w:t>
      </w:r>
    </w:p>
    <w:p w14:paraId="4E87798F" w14:textId="77777777" w:rsidR="009D481E" w:rsidRDefault="009D481E" w:rsidP="00BA7801">
      <w:pPr>
        <w:spacing w:line="480" w:lineRule="auto"/>
        <w:jc w:val="both"/>
        <w:rPr>
          <w:u w:val="single"/>
        </w:rPr>
      </w:pPr>
      <w:r>
        <w:rPr>
          <w:u w:val="single"/>
        </w:rPr>
        <w:br w:type="page"/>
      </w:r>
    </w:p>
    <w:p w14:paraId="25FB07D0" w14:textId="77777777" w:rsidR="00DE56C5" w:rsidRPr="00C944DE" w:rsidRDefault="00DE56C5" w:rsidP="00A935D7">
      <w:pPr>
        <w:spacing w:line="480" w:lineRule="auto"/>
        <w:jc w:val="center"/>
        <w:rPr>
          <w:b/>
          <w:bCs/>
          <w:u w:val="single"/>
        </w:rPr>
      </w:pPr>
      <w:r w:rsidRPr="00C944DE">
        <w:rPr>
          <w:b/>
          <w:bCs/>
          <w:u w:val="single"/>
        </w:rPr>
        <w:lastRenderedPageBreak/>
        <w:t>Meeting Students Where They Are: Teaching in a HyFlex Environment</w:t>
      </w:r>
    </w:p>
    <w:p w14:paraId="48B16B3A" w14:textId="600935CD" w:rsidR="009B2407" w:rsidRPr="00A935D7" w:rsidRDefault="009B2407" w:rsidP="00A935D7">
      <w:pPr>
        <w:spacing w:line="480" w:lineRule="auto"/>
        <w:jc w:val="center"/>
        <w:rPr>
          <w:b/>
          <w:bCs/>
        </w:rPr>
      </w:pPr>
      <w:r w:rsidRPr="00A935D7">
        <w:rPr>
          <w:b/>
          <w:bCs/>
        </w:rPr>
        <w:t>Introduction</w:t>
      </w:r>
    </w:p>
    <w:p w14:paraId="4215FE50" w14:textId="722028C5" w:rsidR="00DB7D4D" w:rsidRDefault="00BD4C8B" w:rsidP="00DB7D4D">
      <w:pPr>
        <w:spacing w:line="480" w:lineRule="auto"/>
        <w:ind w:firstLine="720"/>
      </w:pPr>
      <w:r>
        <w:t xml:space="preserve">Prior to the pandemic, courses at many universities had </w:t>
      </w:r>
      <w:r w:rsidR="00476067">
        <w:t xml:space="preserve">already </w:t>
      </w:r>
      <w:r>
        <w:t xml:space="preserve">shifted to more flexible formats including blended, hybrid, and </w:t>
      </w:r>
      <w:r w:rsidR="00C82C9A">
        <w:t>HyFlex</w:t>
      </w:r>
      <w:r w:rsidR="00DB7D4D">
        <w:t>, i.e.</w:t>
      </w:r>
      <w:r>
        <w:t xml:space="preserve"> </w:t>
      </w:r>
      <w:r w:rsidR="00DB7D4D">
        <w:t xml:space="preserve">demand for online and more flexible options existed even before Covid </w:t>
      </w:r>
      <w:r w:rsidR="00DB7D4D">
        <w:fldChar w:fldCharType="begin" w:fldLock="1"/>
      </w:r>
      <w:r w:rsidR="00DB7D4D">
        <w:instrText>ADDIN CSL_CITATION {"citationItems":[{"id":"ITEM-1","itemData":{"DOI":"10.1007/s10755-020-09514-w","ISSN":"15731758","author":[{"dropping-particle":"","family":"Major","given":"Claire","non-dropping-particle":"","parse-names":false,"suffix":""}],"container-title":"Innovative Higher Education","id":"ITEM-1","issue":"4","issued":{"date-parts":[["2020"]]},"page":"265-266","title":"Innovations in Teaching and Learning during a Time of Crisis","type":"article-journal","volume":"45"},"uris":["http://www.mendeley.com/documents/?uuid=ef8b8a2c-1d2c-44f7-b182-46741cb6aa49"]}],"mendeley":{"formattedCitation":"(Major, 2020)","plainTextFormattedCitation":"(Major, 2020)","previouslyFormattedCitation":"(Major, 2020)"},"properties":{"noteIndex":0},"schema":"https://github.com/citation-style-language/schema/raw/master/csl-citation.json"}</w:instrText>
      </w:r>
      <w:r w:rsidR="00DB7D4D">
        <w:fldChar w:fldCharType="separate"/>
      </w:r>
      <w:r w:rsidR="00DB7D4D" w:rsidRPr="00BD4C8B">
        <w:rPr>
          <w:noProof/>
        </w:rPr>
        <w:t>(Major, 2020)</w:t>
      </w:r>
      <w:r w:rsidR="00DB7D4D">
        <w:fldChar w:fldCharType="end"/>
      </w:r>
      <w:r w:rsidR="00DB7D4D">
        <w:t>.  Between</w:t>
      </w:r>
      <w:r w:rsidR="009B2407">
        <w:t xml:space="preserve"> the global pandemic and the </w:t>
      </w:r>
      <w:r w:rsidR="00C82C9A">
        <w:t>fast-changing</w:t>
      </w:r>
      <w:r w:rsidR="009B2407">
        <w:t xml:space="preserve"> needs of today’s learners, </w:t>
      </w:r>
      <w:r w:rsidR="00DB7D4D">
        <w:t xml:space="preserve">that trend has </w:t>
      </w:r>
      <w:r w:rsidR="00C82C9A">
        <w:t>accelerated,</w:t>
      </w:r>
      <w:r w:rsidR="00DB7D4D">
        <w:t xml:space="preserve"> and </w:t>
      </w:r>
      <w:r w:rsidR="009B2407">
        <w:t xml:space="preserve">more and more courses are being offered in non-traditional formats. </w:t>
      </w:r>
      <w:r w:rsidR="00DB7D4D">
        <w:t xml:space="preserve">Teachers may be expected to adopt these more flexible formats during their careers and will need to develop tools to ensure an effective learning experience. As student engagement has long been associated with student satisfaction and academic success, researchers </w:t>
      </w:r>
      <w:r w:rsidR="00476067">
        <w:t xml:space="preserve">have been </w:t>
      </w:r>
      <w:r w:rsidR="00DB7D4D">
        <w:t xml:space="preserve">concerned with the impact on learning, leading to numerous studies on student perceptions. These studies found benefits to using flexible modalities, but also issues of concern including attendance, interaction, student satisfaction, and engagement </w:t>
      </w:r>
      <w:r w:rsidR="00DB7D4D">
        <w:fldChar w:fldCharType="begin" w:fldLock="1"/>
      </w:r>
      <w:r w:rsidR="00DB7D4D">
        <w:instrText>ADDIN CSL_CITATION {"citationItems":[{"id":"ITEM-1","itemData":{"DOI":"10.4018/ijopcd.2016100102","ISSN":"2155-6873","abstract":"The purpose of this study was to explore students' perspectives regarding HyFlex course design. The main feature of HyFlex is blending synchronous online student attendance and face-to-face student attendance (hybrid) in a single course and allowing students to choose when and how they attend (flexible). The course in this study implemented HyFlex principles to expand learning opportunities of adult graduate students in a higher education setting. The data collection sources included interviews of six graduate students, class observations, recordings of class meetings, students' course work, and relevant online course artifacts. Results indicated that participants perceived HyFlex to be a good way to accommodate student needs and their life circumstances, increase student access to course content and instruction, differentiate instruction to meet adult students' different learning styles and strategies, and give students a sense of control over their learning.","author":[{"dropping-particle":"","family":"Abdelmalak","given":"Mariam Mouse Matta","non-dropping-particle":"","parse-names":false,"suffix":""},{"dropping-particle":"","family":"Parra","given":"Julia Lynn","non-dropping-particle":"","parse-names":false,"suffix":""}],"container-title":"International Journal of Online Pedagogy and Course Design","id":"ITEM-1","issue":"4","issued":{"date-parts":[["2016"]]},"page":"19-37","title":"Expanding Learning Opportunities for Graduate Students with HyFlex Course Design","type":"article-journal","volume":"6"},"uris":["http://www.mendeley.com/documents/?uuid=bb59950e-cb9a-4034-bf9d-bbb8a4949e71"]},{"id":"ITEM-2","itemData":{"author":[{"dropping-particle":"","family":"Bhattacharya","given":"Mithu","non-dropping-particle":"","parse-names":false,"suffix":""},{"dropping-particle":"","family":"Howard","given":"Terry L.","non-dropping-particle":"","parse-names":false,"suffix":""},{"dropping-particle":"","family":"Ulferts","given":"Gregory W.","non-dropping-particle":"","parse-names":false,"suffix":""}],"container-title":"Journal of Higher Education Theory and Practice","id":"ITEM-2","issue":"15","issued":{"date-parts":[["2020"]]},"page":"117-125","title":"A Study of Students' Perceptions About Online Versus Traditional Teaching","type":"article-journal","volume":"20"},"uris":["http://www.mendeley.com/documents/?uuid=610533a0-e89e-4795-96dc-6f805cbf02c3"]},{"id":"ITEM-3","itemData":{"author":[{"dropping-particle":"","family":"Conklin","given":"Sheri","non-dropping-particle":"","parse-names":false,"suffix":""},{"dropping-particle":"","family":"Lowenthal","given":"Patrick","non-dropping-particle":"","parse-names":false,"suffix":""},{"dropping-particle":"","family":"Trespalacios","given":"Jesus","non-dropping-particle":"","parse-names":false,"suffix":""}],"container-title":"Quarter","id":"ITEM-3","issue":"4","issued":{"date-parts":[["2019"]]},"page":"45-59","title":"Graduate Students' Perceptions of Interactions in a Blended Synchronous Learning Environment","type":"article-journal","volume":"20"},"uris":["http://www.mendeley.com/documents/?uuid=26b8b496-38d2-4443-a2ea-59267f768b71"]},{"id":"ITEM-4","itemData":{"DOI":"10.1016/j.ijme.2021.100454","ISSN":"14728117","abstract":"Blended courses are rising in business education, and new modalities have emerged to increase flexibility of students. HyFlex courses combine online asynchronous activities with “flexible-synchronous” activities where students choose to attend online synchronously, face-to-face, or online asynchronously through recordings, bringing them full flexibility of participation. Additionally, the flexible-synchronous activities preserve interaction opportunities between students and the instructor and support student learning. This study reports on the transformation of an operations course into a HyFlex modality to enhance student engagement through regular flexible-synchronous sessions as well as equivalent T&amp;L activities across course sections. The study also brings a new perspective by highlighting effective strategies for engaging students in a HyFlex course. First, exploratory qualitative data suggested that the course organization with weekly flexible-synchronous activities, providing regular interaction opportunities and video-recorded, encouraged student engagement. Engagement strategies were also identified using both quantitative and qualitative data. The main strategies were open and trustful interactions for student behavioral engagement, links with practice and learning support for emotional engagement, and links with practice, learning support and instructor's facilitation role for cognitive engagement. The study suggests that HyFlex is a promising course modality for fostering student engagement at the graduate level, especially in large-group business courses.","author":[{"dropping-particle":"","family":"Heilporn","given":"Géraldine","non-dropping-particle":"","parse-names":false,"suffix":""},{"dropping-particle":"","family":"Lakhal","given":"Sawsen","non-dropping-particle":"","parse-names":false,"suffix":""}],"container-title":"International Journal of Management Education","id":"ITEM-4","issue":"1","issued":{"date-parts":[["2021"]]},"title":"Converting a graduate-level course into a HyFlex modality: What are effective engagement strategies?","type":"article-journal","volume":"19"},"uris":["http://www.mendeley.com/documents/?uuid=f870d0c0-5b37-4657-b27d-5f12cc15c50b"]}],"mendeley":{"formattedCitation":"(Abdelmalak &amp; Parra, 2016; Bhattacharya et al., 2020; Conklin et al., 2019; Heilporn &amp; Lakhal, 2021)","plainTextFormattedCitation":"(Abdelmalak &amp; Parra, 2016; Bhattacharya et al., 2020; Conklin et al., 2019; Heilporn &amp; Lakhal, 2021)","previouslyFormattedCitation":"(Abdelmalak &amp; Parra, 2016; Bhattacharya et al., 2020; Conklin et al., 2019; Heilporn &amp; Lakhal, 2021)"},"properties":{"noteIndex":0},"schema":"https://github.com/citation-style-language/schema/raw/master/csl-citation.json"}</w:instrText>
      </w:r>
      <w:r w:rsidR="00DB7D4D">
        <w:fldChar w:fldCharType="separate"/>
      </w:r>
      <w:r w:rsidR="00DB7D4D" w:rsidRPr="00DB7D4D">
        <w:rPr>
          <w:noProof/>
        </w:rPr>
        <w:t>(Abdelmalak &amp; Parra, 2016; Bhattacharya et al., 2020; Conklin et al., 2019; Heilporn &amp; Lakhal, 2021)</w:t>
      </w:r>
      <w:r w:rsidR="00DB7D4D">
        <w:fldChar w:fldCharType="end"/>
      </w:r>
      <w:r w:rsidR="00DB7D4D">
        <w:t xml:space="preserve">. </w:t>
      </w:r>
    </w:p>
    <w:p w14:paraId="7FCDD8E9" w14:textId="7C242553" w:rsidR="009B2407" w:rsidRDefault="009B2407" w:rsidP="00BD4C8B">
      <w:pPr>
        <w:spacing w:line="480" w:lineRule="auto"/>
        <w:ind w:firstLine="720"/>
      </w:pPr>
      <w:r>
        <w:t>Beyond completely online</w:t>
      </w:r>
      <w:r w:rsidR="00BD4C8B">
        <w:t>, blended,</w:t>
      </w:r>
      <w:r>
        <w:t xml:space="preserve"> and Hybrid, we now have </w:t>
      </w:r>
      <w:r w:rsidR="00C82C9A">
        <w:t>HyFlex</w:t>
      </w:r>
      <w:r w:rsidR="00D81A9D">
        <w:t xml:space="preserve"> c</w:t>
      </w:r>
      <w:r w:rsidR="00BD4C8B">
        <w:t>o</w:t>
      </w:r>
      <w:r w:rsidR="00D81A9D">
        <w:t>urse designs</w:t>
      </w:r>
      <w:r w:rsidR="00C82C9A">
        <w:t>. HyFlex</w:t>
      </w:r>
      <w:r w:rsidR="00D81A9D">
        <w:t>, which comes from the terms “hybrid” and “flexible,”</w:t>
      </w:r>
      <w:r w:rsidR="002F3D58">
        <w:t xml:space="preserve"> </w:t>
      </w:r>
      <w:r w:rsidR="00D81A9D">
        <w:t xml:space="preserve">is a course modality that </w:t>
      </w:r>
      <w:r>
        <w:t>offer</w:t>
      </w:r>
      <w:r w:rsidR="00D81A9D">
        <w:t>s</w:t>
      </w:r>
      <w:r>
        <w:t xml:space="preserve"> students the option, for each class session, to attend live in-person, live virtually</w:t>
      </w:r>
      <w:r w:rsidR="00D81A9D">
        <w:t xml:space="preserve"> (synchronously)</w:t>
      </w:r>
      <w:r>
        <w:t>, or watch the recorded session asynchronously</w:t>
      </w:r>
      <w:r w:rsidR="00D81A9D">
        <w:t xml:space="preserve"> (</w:t>
      </w:r>
      <w:r w:rsidR="0073689D">
        <w:t>Abdelmalak &amp; Parra, 2016)</w:t>
      </w:r>
      <w:r>
        <w:t xml:space="preserve">. </w:t>
      </w:r>
      <w:r w:rsidR="002F3D58">
        <w:t xml:space="preserve">This methodology is best known through Beatty’s </w:t>
      </w:r>
      <w:r w:rsidR="006807A7">
        <w:t xml:space="preserve">(2019) </w:t>
      </w:r>
      <w:r w:rsidR="002F3D58">
        <w:t>work at San Francisco State University</w:t>
      </w:r>
      <w:r w:rsidR="00C82C9A">
        <w:t>. HyFlex</w:t>
      </w:r>
      <w:r w:rsidR="007F490A">
        <w:t xml:space="preserve"> is built upon accessibility (students have the technological know-how and equipment to access different class modalities), learner choice (students can decide how to participate), equivalency (participation in different modes results in the same learning outcomes), and reusability (artifacts from different activities in different modes are used to the benefit of all </w:t>
      </w:r>
      <w:r w:rsidR="007F490A">
        <w:lastRenderedPageBreak/>
        <w:t xml:space="preserve">students) </w:t>
      </w:r>
      <w:r w:rsidR="006807A7">
        <w:fldChar w:fldCharType="begin" w:fldLock="1"/>
      </w:r>
      <w:r w:rsidR="003F0608">
        <w:instrText>ADDIN CSL_CITATION {"citationItems":[{"id":"ITEM-1","itemData":{"author":[{"dropping-particle":"","family":"Beatty","given":"Brian J.","non-dropping-particle":"","parse-names":false,"suffix":""}],"container-title":"Hybrid-flexible course design: Implementing student-directed hybrid classes","edition":"1st","editor":[{"dropping-particle":"","family":"Beatty","given":"Brian B.","non-dropping-particle":"","parse-names":false,"suffix":""}],"id":"ITEM-1","issued":{"date-parts":[["2019"]]},"publisher":"EdTech Books","title":"Values and principles of hybrid-flexible course design","type":"chapter"},"uris":["http://www.mendeley.com/documents/?uuid=c0272b5f-97fa-439b-bce1-96dd841e52f1"]}],"mendeley":{"formattedCitation":"(B. J. Beatty, 2019)","plainTextFormattedCitation":"(B. J. Beatty, 2019)","previouslyFormattedCitation":"(Beatty, 2019)"},"properties":{"noteIndex":0},"schema":"https://github.com/citation-style-language/schema/raw/master/csl-citation.json"}</w:instrText>
      </w:r>
      <w:r w:rsidR="006807A7">
        <w:fldChar w:fldCharType="separate"/>
      </w:r>
      <w:r w:rsidR="003F0608" w:rsidRPr="003F0608">
        <w:rPr>
          <w:noProof/>
        </w:rPr>
        <w:t>(B. J. Beatty, 2019)</w:t>
      </w:r>
      <w:r w:rsidR="006807A7">
        <w:fldChar w:fldCharType="end"/>
      </w:r>
      <w:r w:rsidR="007F490A">
        <w:t>. These values may be difficult to achieve, however, and t</w:t>
      </w:r>
      <w:r>
        <w:t>his format presents serious complications for faculty integrating active learning and experiential lessons as they are dealing with students in three different modalities at once</w:t>
      </w:r>
      <w:r w:rsidR="00DB7D4D">
        <w:t xml:space="preserve"> </w:t>
      </w:r>
      <w:r w:rsidR="00DB7D4D">
        <w:fldChar w:fldCharType="begin" w:fldLock="1"/>
      </w:r>
      <w:r w:rsidR="00DB7D4D">
        <w:instrText>ADDIN CSL_CITATION {"citationItems":[{"id":"ITEM-1","itemData":{"DOI":"10.1016/j.ijme.2021.100454","ISSN":"14728117","abstract":"Blended courses are rising in business education, and new modalities have emerged to increase flexibility of students. HyFlex courses combine online asynchronous activities with “flexible-synchronous” activities where students choose to attend online synchronously, face-to-face, or online asynchronously through recordings, bringing them full flexibility of participation. Additionally, the flexible-synchronous activities preserve interaction opportunities between students and the instructor and support student learning. This study reports on the transformation of an operations course into a HyFlex modality to enhance student engagement through regular flexible-synchronous sessions as well as equivalent T&amp;L activities across course sections. The study also brings a new perspective by highlighting effective strategies for engaging students in a HyFlex course. First, exploratory qualitative data suggested that the course organization with weekly flexible-synchronous activities, providing regular interaction opportunities and video-recorded, encouraged student engagement. Engagement strategies were also identified using both quantitative and qualitative data. The main strategies were open and trustful interactions for student behavioral engagement, links with practice and learning support for emotional engagement, and links with practice, learning support and instructor's facilitation role for cognitive engagement. The study suggests that HyFlex is a promising course modality for fostering student engagement at the graduate level, especially in large-group business courses.","author":[{"dropping-particle":"","family":"Heilporn","given":"Géraldine","non-dropping-particle":"","parse-names":false,"suffix":""},{"dropping-particle":"","family":"Lakhal","given":"Sawsen","non-dropping-particle":"","parse-names":false,"suffix":""}],"container-title":"International Journal of Management Education","id":"ITEM-1","issue":"1","issued":{"date-parts":[["2021"]]},"title":"Converting a graduate-level course into a HyFlex modality: What are effective engagement strategies?","type":"article-journal","volume":"19"},"uris":["http://www.mendeley.com/documents/?uuid=f870d0c0-5b37-4657-b27d-5f12cc15c50b"]},{"id":"ITEM-2","itemData":{"ISSN":"2158-6195","abstract":"This article highlights interaction within physical and virtual spaces in a higher education HyFlex learning environment with live streamed lectures and seminars. What kinds of learning spaces do we shape when we connect physical and virtual spaces? How does a group of teachers interact in these spaces and how do the HyFlex spaces affect the interaction? The perspective of 'designs for learning' theoretically frames the study. The result shows that several different spaces are shaped: physical space, representational space, interactional space, and liminal space. The results also imply that a HyFlex model requires an increased didactic awareness of designing for learning. Introduction This article highlights the interaction within physical and virtual spaces in a higher education HyFlex learning environment. HyFlex (hybrid and flexible) course design is a blended form of teaching that combines physical spaces, virtual spaces, and face-to-face interaction with online learning (see Bower et al. 2015). In this study, the lectures/seminars were streamed live, with one lecturer and another teacher in the room acting as the streaming facilitator. Space in higher education is essential when it comes to the framing of and the conditions for learning, but space is also a significant part of the interaction and communication during the learning process (Leijon 2016). What happens when we move towards more blended learning spaces? Blended learning spaces tend to be the new normal in higher education (Owston 2013), but how can we understand these learning spaces? What kinds of learning spaces do we shape when we connect physical and virtual spaces? How does a group of teachers interact in these spaces, and how do the HyFlex spaces affect the interaction? Background and aim","author":[{"dropping-particle":"","family":"Leijon","given":"Marie","non-dropping-particle":"","parse-names":false,"suffix":""},{"dropping-particle":"","family":"Lundgren","given":"Bjorn","non-dropping-particle":"","parse-names":false,"suffix":""}],"container-title":"Journal of Learning Spaces","id":"ITEM-2","issue":"1","issued":{"date-parts":[["2019"]]},"page":"1-9","title":"Connecting physical and virtual spaces in a HyFlex pedagogic model with a focus on teacher interaction","type":"article-journal","volume":"8"},"uris":["http://www.mendeley.com/documents/?uuid=63908194-4cf7-4cf9-8eb1-eea131b694d5"]}],"mendeley":{"formattedCitation":"(Heilporn &amp; Lakhal, 2021; Leijon &amp; Lundgren, 2019)","plainTextFormattedCitation":"(Heilporn &amp; Lakhal, 2021; Leijon &amp; Lundgren, 2019)","previouslyFormattedCitation":"(Heilporn &amp; Lakhal, 2021; Leijon &amp; Lundgren, 2019)"},"properties":{"noteIndex":0},"schema":"https://github.com/citation-style-language/schema/raw/master/csl-citation.json"}</w:instrText>
      </w:r>
      <w:r w:rsidR="00DB7D4D">
        <w:fldChar w:fldCharType="separate"/>
      </w:r>
      <w:r w:rsidR="00DB7D4D" w:rsidRPr="00DB7D4D">
        <w:rPr>
          <w:noProof/>
        </w:rPr>
        <w:t>(Heilporn &amp; Lakhal, 2021; Leijon &amp; Lundgren, 2019)</w:t>
      </w:r>
      <w:r w:rsidR="00DB7D4D">
        <w:fldChar w:fldCharType="end"/>
      </w:r>
      <w:r>
        <w:t>.  In addition, class session planning is increasingly difficult without knowing how many students will attend and in what format on any given day</w:t>
      </w:r>
      <w:r w:rsidR="00C82C9A">
        <w:t xml:space="preserve">. </w:t>
      </w:r>
      <w:r w:rsidR="007012AA">
        <w:t xml:space="preserve">Although there are benefits to both synchronous and asynchronous learning, using both at once can be frustrating </w:t>
      </w:r>
      <w:r w:rsidR="00C63E74">
        <w:fldChar w:fldCharType="begin" w:fldLock="1"/>
      </w:r>
      <w:r w:rsidR="00C63E74">
        <w:instrText>ADDIN CSL_CITATION {"citationItems":[{"id":"ITEM-1","itemData":{"author":[{"dropping-particle":"","family":"Watts","given":"L.","non-dropping-particle":"","parse-names":false,"suffix":""}],"container-title":"Quarterly Review of Distance Education","id":"ITEM-1","issue":"1","issued":{"date-parts":[["2016"]]},"page":"23-32","title":"Synchronous and asynchronous communication in distance learning: A review of the literature","type":"article-journal","volume":"17"},"uris":["http://www.mendeley.com/documents/?uuid=bdc36a55-a721-48b8-ace6-fa7c75595b09"]}],"mendeley":{"formattedCitation":"(Watts, 2016)","plainTextFormattedCitation":"(Watts, 2016)","previouslyFormattedCitation":"(Watts, 2016)"},"properties":{"noteIndex":0},"schema":"https://github.com/citation-style-language/schema/raw/master/csl-citation.json"}</w:instrText>
      </w:r>
      <w:r w:rsidR="00C63E74">
        <w:fldChar w:fldCharType="separate"/>
      </w:r>
      <w:r w:rsidR="00C63E74" w:rsidRPr="00C63E74">
        <w:rPr>
          <w:noProof/>
        </w:rPr>
        <w:t>(Watts, 2016)</w:t>
      </w:r>
      <w:r w:rsidR="00C63E74">
        <w:fldChar w:fldCharType="end"/>
      </w:r>
      <w:r w:rsidR="007012AA">
        <w:t xml:space="preserve">. </w:t>
      </w:r>
      <w:r>
        <w:t>Though many schools used a more flexible format during the pandemic, the expectation may have been to return to traditional classrooms</w:t>
      </w:r>
      <w:r w:rsidR="00C82C9A">
        <w:t xml:space="preserve">. </w:t>
      </w:r>
      <w:r>
        <w:t>However, the desire by students for increased flexibility suggests these types of modalities are here to stay</w:t>
      </w:r>
      <w:r w:rsidR="00C82C9A">
        <w:t xml:space="preserve">. </w:t>
      </w:r>
      <w:r>
        <w:t xml:space="preserve">Our goal in this session is to discuss the benefits and challenges of flexible modalities, develop suggestions for working within this type of format, and provide guidance to those developing courses that may </w:t>
      </w:r>
      <w:r w:rsidR="006807A7">
        <w:t xml:space="preserve">be </w:t>
      </w:r>
      <w:r w:rsidR="007F490A">
        <w:t xml:space="preserve">in a </w:t>
      </w:r>
      <w:r w:rsidR="00C82C9A">
        <w:t>HyFlex</w:t>
      </w:r>
      <w:r w:rsidR="007F490A">
        <w:t xml:space="preserve"> format</w:t>
      </w:r>
      <w:r>
        <w:t xml:space="preserve"> in the future</w:t>
      </w:r>
      <w:r w:rsidR="00C82C9A">
        <w:t xml:space="preserve">. </w:t>
      </w:r>
      <w:r>
        <w:t>Being prepared for this modality will assist with career development as it increases your flexibility as a faculty member.</w:t>
      </w:r>
    </w:p>
    <w:p w14:paraId="1E50805A" w14:textId="627AB7F4" w:rsidR="00CD6A35" w:rsidRDefault="00CD6A35" w:rsidP="009B2407">
      <w:pPr>
        <w:spacing w:line="480" w:lineRule="auto"/>
      </w:pPr>
      <w:r>
        <w:tab/>
        <w:t xml:space="preserve">Both undergraduate and graduate faculty may benefit from this session, though the data we present will be primarily from graduate </w:t>
      </w:r>
      <w:r w:rsidR="00DB7D4D">
        <w:t>faculty.</w:t>
      </w:r>
      <w:r>
        <w:t xml:space="preserve"> Graduate students may particularly have life conflicts that make regular in-person attendance difficult, and research has found that graduate students appreciate the flexibility of the format </w:t>
      </w:r>
      <w:r w:rsidR="00DB7D4D">
        <w:fldChar w:fldCharType="begin" w:fldLock="1"/>
      </w:r>
      <w:r w:rsidR="00C63E74">
        <w:instrText>ADDIN CSL_CITATION {"citationItems":[{"id":"ITEM-1","itemData":{"DOI":"10.4018/ijopcd.2016100102","ISSN":"2155-6873","abstract":"The purpose of this study was to explore students' perspectives regarding HyFlex course design. The main feature of HyFlex is blending synchronous online student attendance and face-to-face student attendance (hybrid) in a single course and allowing students to choose when and how they attend (flexible). The course in this study implemented HyFlex principles to expand learning opportunities of adult graduate students in a higher education setting. The data collection sources included interviews of six graduate students, class observations, recordings of class meetings, students' course work, and relevant online course artifacts. Results indicated that participants perceived HyFlex to be a good way to accommodate student needs and their life circumstances, increase student access to course content and instruction, differentiate instruction to meet adult students' different learning styles and strategies, and give students a sense of control over their learning.","author":[{"dropping-particle":"","family":"Abdelmalak","given":"Mariam Mouse Matta","non-dropping-particle":"","parse-names":false,"suffix":""},{"dropping-particle":"","family":"Parra","given":"Julia Lynn","non-dropping-particle":"","parse-names":false,"suffix":""}],"container-title":"International Journal of Online Pedagogy and Course Design","id":"ITEM-1","issue":"4","issued":{"date-parts":[["2016"]]},"page":"19-37","title":"Expanding Learning Opportunities for Graduate Students with HyFlex Course Design","type":"article-journal","volume":"6"},"uris":["http://www.mendeley.com/documents/?uuid=bb59950e-cb9a-4034-bf9d-bbb8a4949e71"]},{"id":"ITEM-2","itemData":{"DOI":"10.1016/j.ijme.2021.100454","ISSN":"14728117","abstract":"Blended courses are rising in business education, and new modalities have emerged to increase flexibility of students. HyFlex courses combine online asynchronous activities with “flexible-synchronous” activities where students choose to attend online synchronously, face-to-face, or online asynchronously through recordings, bringing them full flexibility of participation. Additionally, the flexible-synchronous activities preserve interaction opportunities between students and the instructor and support student learning. This study reports on the transformation of an operations course into a HyFlex modality to enhance student engagement through regular flexible-synchronous sessions as well as equivalent T&amp;L activities across course sections. The study also brings a new perspective by highlighting effective strategies for engaging students in a HyFlex course. First, exploratory qualitative data suggested that the course organization with weekly flexible-synchronous activities, providing regular interaction opportunities and video-recorded, encouraged student engagement. Engagement strategies were also identified using both quantitative and qualitative data. The main strategies were open and trustful interactions for student behavioral engagement, links with practice and learning support for emotional engagement, and links with practice, learning support and instructor's facilitation role for cognitive engagement. The study suggests that HyFlex is a promising course modality for fostering student engagement at the graduate level, especially in large-group business courses.","author":[{"dropping-particle":"","family":"Heilporn","given":"Géraldine","non-dropping-particle":"","parse-names":false,"suffix":""},{"dropping-particle":"","family":"Lakhal","given":"Sawsen","non-dropping-particle":"","parse-names":false,"suffix":""}],"container-title":"International Journal of Management Education","id":"ITEM-2","issue":"1","issued":{"date-parts":[["2021"]]},"title":"Converting a graduate-level course into a HyFlex modality: What are effective engagement strategies?","type":"article-journal","volume":"19"},"uris":["http://www.mendeley.com/documents/?uuid=f870d0c0-5b37-4657-b27d-5f12cc15c50b"]},{"id":"ITEM-3","itemData":{"author":[{"dropping-particle":"","family":"Conklin","given":"Sheri","non-dropping-particle":"","parse-names":false,"suffix":""},{"dropping-particle":"","family":"Lowenthal","given":"Patrick","non-dropping-particle":"","parse-names":false,"suffix":""},{"dropping-particle":"","family":"Trespalacios","given":"Jesus","non-dropping-particle":"","parse-names":false,"suffix":""}],"container-title":"Quarter","id":"ITEM-3","issue":"4","issued":{"date-parts":[["2019"]]},"page":"45-59","title":"Graduate Students' Perceptions of Interactions in a Blended Synchronous Learning Environment","type":"article-journal","volume":"20"},"uris":["http://www.mendeley.com/documents/?uuid=26b8b496-38d2-4443-a2ea-59267f768b71"]}],"mendeley":{"formattedCitation":"(Abdelmalak &amp; Parra, 2016; Conklin et al., 2019; Heilporn &amp; Lakhal, 2021)","plainTextFormattedCitation":"(Abdelmalak &amp; Parra, 2016; Conklin et al., 2019; Heilporn &amp; Lakhal, 2021)","previouslyFormattedCitation":"(Abdelmalak &amp; Parra, 2016; Conklin et al., 2019; Heilporn &amp; Lakhal, 2021)"},"properties":{"noteIndex":0},"schema":"https://github.com/citation-style-language/schema/raw/master/csl-citation.json"}</w:instrText>
      </w:r>
      <w:r w:rsidR="00DB7D4D">
        <w:fldChar w:fldCharType="separate"/>
      </w:r>
      <w:r w:rsidR="00DB7D4D" w:rsidRPr="00DB7D4D">
        <w:rPr>
          <w:noProof/>
        </w:rPr>
        <w:t>(Abdelmalak &amp; Parra, 2016; Conklin et al., 2019; Heilporn &amp; Lakhal, 2021)</w:t>
      </w:r>
      <w:r w:rsidR="00DB7D4D">
        <w:fldChar w:fldCharType="end"/>
      </w:r>
      <w:r>
        <w:t xml:space="preserve">. After this session, instructors will better understand the benefits and challenges of the </w:t>
      </w:r>
      <w:r w:rsidR="00C82C9A">
        <w:t>HyFlex</w:t>
      </w:r>
      <w:r>
        <w:t xml:space="preserve"> format and will understand some technological tools and practices that can help the mode be successful. </w:t>
      </w:r>
    </w:p>
    <w:p w14:paraId="01F7106B" w14:textId="0EFF1EA1" w:rsidR="007B438B" w:rsidRPr="00A935D7" w:rsidRDefault="002F3D58" w:rsidP="00A935D7">
      <w:pPr>
        <w:pStyle w:val="Heading1"/>
        <w:jc w:val="center"/>
        <w:rPr>
          <w:b/>
          <w:bCs/>
          <w:u w:val="none"/>
        </w:rPr>
      </w:pPr>
      <w:r w:rsidRPr="00A935D7">
        <w:rPr>
          <w:b/>
          <w:bCs/>
          <w:u w:val="none"/>
        </w:rPr>
        <w:t>Learning Objectives, Engagement, and Takeaways</w:t>
      </w:r>
    </w:p>
    <w:p w14:paraId="6C46C8DF" w14:textId="33454D12" w:rsidR="002F3D58" w:rsidRDefault="002F3D58" w:rsidP="009B2407">
      <w:pPr>
        <w:spacing w:line="480" w:lineRule="auto"/>
        <w:jc w:val="both"/>
      </w:pPr>
      <w:r>
        <w:t>Participants will</w:t>
      </w:r>
    </w:p>
    <w:p w14:paraId="04AA798B" w14:textId="73425FA1" w:rsidR="002F3D58" w:rsidRDefault="002F3D58" w:rsidP="002F3D58">
      <w:pPr>
        <w:pStyle w:val="ListParagraph"/>
        <w:numPr>
          <w:ilvl w:val="0"/>
          <w:numId w:val="3"/>
        </w:numPr>
        <w:spacing w:line="480" w:lineRule="auto"/>
        <w:jc w:val="both"/>
      </w:pPr>
      <w:r>
        <w:t xml:space="preserve">Understand the concept of HyFlex or Flex </w:t>
      </w:r>
      <w:r w:rsidR="00C82C9A">
        <w:t>teaching.</w:t>
      </w:r>
    </w:p>
    <w:p w14:paraId="7A7297DA" w14:textId="7DA2291B" w:rsidR="002F3D58" w:rsidRDefault="002F3D58" w:rsidP="002F3D58">
      <w:pPr>
        <w:pStyle w:val="ListParagraph"/>
        <w:numPr>
          <w:ilvl w:val="0"/>
          <w:numId w:val="3"/>
        </w:numPr>
        <w:spacing w:line="480" w:lineRule="auto"/>
        <w:jc w:val="both"/>
      </w:pPr>
      <w:r>
        <w:lastRenderedPageBreak/>
        <w:t xml:space="preserve">Evaluate the benefits and challenges inherent in this type of varied </w:t>
      </w:r>
      <w:r w:rsidR="00C82C9A">
        <w:t>modality.</w:t>
      </w:r>
    </w:p>
    <w:p w14:paraId="210BC8A7" w14:textId="6B143914" w:rsidR="002F3D58" w:rsidRDefault="00E500D1" w:rsidP="002F3D58">
      <w:pPr>
        <w:pStyle w:val="ListParagraph"/>
        <w:numPr>
          <w:ilvl w:val="0"/>
          <w:numId w:val="3"/>
        </w:numPr>
        <w:spacing w:line="480" w:lineRule="auto"/>
        <w:jc w:val="both"/>
      </w:pPr>
      <w:r>
        <w:t>Identify</w:t>
      </w:r>
      <w:r w:rsidR="002F3D58">
        <w:t xml:space="preserve"> </w:t>
      </w:r>
      <w:r w:rsidR="00BD4C8B">
        <w:t xml:space="preserve">engagement tools that work across varied </w:t>
      </w:r>
      <w:r w:rsidR="00C82C9A">
        <w:t>modalities.</w:t>
      </w:r>
    </w:p>
    <w:p w14:paraId="41C02830" w14:textId="77777777" w:rsidR="00D370B8" w:rsidRDefault="002F3D58" w:rsidP="002F3D58">
      <w:pPr>
        <w:spacing w:line="480" w:lineRule="auto"/>
      </w:pPr>
      <w:r>
        <w:t>Through research-based evidence, demonstration, and discussions, participants</w:t>
      </w:r>
      <w:r w:rsidRPr="002F3D58">
        <w:t xml:space="preserve"> </w:t>
      </w:r>
      <w:r>
        <w:t>will help generate potential solutions that can be integrated into existing courses and assist in building new courses</w:t>
      </w:r>
      <w:r w:rsidR="00BD4C8B">
        <w:t>.</w:t>
      </w:r>
      <w:r w:rsidR="00E701E3">
        <w:t xml:space="preserve"> </w:t>
      </w:r>
      <w:r w:rsidR="00600064">
        <w:t>At the beginning of the PDW, we will assess attendees’ experience with HyFlex</w:t>
      </w:r>
      <w:r w:rsidR="005A4A78">
        <w:t xml:space="preserve"> learning, either as instructors or as students. </w:t>
      </w:r>
      <w:r w:rsidR="00EF036A">
        <w:t xml:space="preserve">If attendees are </w:t>
      </w:r>
      <w:r w:rsidR="00CE5EC0">
        <w:t xml:space="preserve">more experienced, we will give an abbreviated overview and move to our findings, tips, and discussions more quickly, devoting more time to </w:t>
      </w:r>
      <w:r w:rsidR="005557A9">
        <w:t xml:space="preserve">allow participants to share their own pitfalls and successes in terms of engagement, teamwork, successful learning outcomes, and more. </w:t>
      </w:r>
    </w:p>
    <w:p w14:paraId="3B079646" w14:textId="77777777" w:rsidR="00D370B8" w:rsidRDefault="00D370B8" w:rsidP="002F3D58">
      <w:pPr>
        <w:spacing w:line="480" w:lineRule="auto"/>
      </w:pPr>
      <w:r>
        <w:tab/>
      </w:r>
      <w:r w:rsidR="00E876C5">
        <w:t>If participants are less experienced, we will spend more time explaining HyFlex and its benefits</w:t>
      </w:r>
      <w:r w:rsidR="000F245F">
        <w:t xml:space="preserve">, our findings, </w:t>
      </w:r>
      <w:proofErr w:type="gramStart"/>
      <w:r w:rsidR="000F245F">
        <w:t>tools</w:t>
      </w:r>
      <w:proofErr w:type="gramEnd"/>
      <w:r w:rsidR="000F245F">
        <w:t xml:space="preserve"> and techniques, encouraging questions throughout so we can tailor the session to our attendees’ needs and interests. </w:t>
      </w:r>
      <w:r>
        <w:t>W</w:t>
      </w:r>
      <w:r w:rsidR="00A32A00">
        <w:t xml:space="preserve">e will ask </w:t>
      </w:r>
      <w:r>
        <w:t>less-experienced attendees</w:t>
      </w:r>
      <w:r w:rsidR="00A32A00">
        <w:t xml:space="preserve"> to imagine the challenges of the format and how they would address them, as well as asking about the benefits that they see. </w:t>
      </w:r>
    </w:p>
    <w:p w14:paraId="59BAA546" w14:textId="7AD60FB3" w:rsidR="002F3D58" w:rsidRDefault="00D370B8" w:rsidP="002F3D58">
      <w:pPr>
        <w:spacing w:line="480" w:lineRule="auto"/>
      </w:pPr>
      <w:r>
        <w:tab/>
      </w:r>
      <w:r w:rsidR="0079075D">
        <w:t>One tool that we will demonstrate is Hypothes</w:t>
      </w:r>
      <w:r w:rsidR="00B26853">
        <w:t>.</w:t>
      </w:r>
      <w:r w:rsidR="0079075D">
        <w:t>is</w:t>
      </w:r>
      <w:r w:rsidR="00B56EE3">
        <w:t xml:space="preserve">, </w:t>
      </w:r>
      <w:r w:rsidR="006F20A5">
        <w:t>which</w:t>
      </w:r>
      <w:r w:rsidR="00B56EE3">
        <w:t xml:space="preserve"> allows a class to work together to annotate </w:t>
      </w:r>
      <w:r w:rsidR="006F20A5">
        <w:t>an article or other work</w:t>
      </w:r>
      <w:r w:rsidR="005E1D07">
        <w:t>. This application can assist students in different modalities in critiquing and analyzing a work</w:t>
      </w:r>
      <w:r w:rsidR="0038416A">
        <w:t xml:space="preserve"> together</w:t>
      </w:r>
      <w:r w:rsidR="00814E18">
        <w:t xml:space="preserve">, allowing a more meaningful “conversation” even with asynchronous students because comments tie directly to </w:t>
      </w:r>
      <w:proofErr w:type="gramStart"/>
      <w:r w:rsidR="00814E18">
        <w:t>particular parts</w:t>
      </w:r>
      <w:proofErr w:type="gramEnd"/>
      <w:r w:rsidR="00814E18">
        <w:t xml:space="preserve"> of a text</w:t>
      </w:r>
      <w:r w:rsidR="00B17C43">
        <w:t>. It also makes reading more visible as students must annotate the text</w:t>
      </w:r>
      <w:r w:rsidR="00B26853">
        <w:t>, so you can see whether students have really engaged with an assigned reading</w:t>
      </w:r>
      <w:r w:rsidR="00814E18">
        <w:t xml:space="preserve"> </w:t>
      </w:r>
      <w:r w:rsidR="003F0608">
        <w:fldChar w:fldCharType="begin" w:fldLock="1"/>
      </w:r>
      <w:r w:rsidR="003F0608">
        <w:instrText>ADDIN CSL_CITATION {"citationItems":[{"id":"ITEM-1","itemData":{"URL":"https://web.hypothes.is/education/","accessed":{"date-parts":[["2023","1","23"]]},"author":[{"dropping-particle":"","family":"Hypothes.is","given":"","non-dropping-particle":"","parse-names":false,"suffix":""}],"id":"ITEM-1","issued":{"date-parts":[["0"]]},"title":"Hypothesis for Education","type":"webpage"},"uris":["http://www.mendeley.com/documents/?uuid=c27dff7b-1236-46bc-8a80-0e59bbe20114"]}],"mendeley":{"formattedCitation":"(Hypothes.is, n.d.)","plainTextFormattedCitation":"(Hypothes.is, n.d.)"},"properties":{"noteIndex":0},"schema":"https://github.com/citation-style-language/schema/raw/master/csl-citation.json"}</w:instrText>
      </w:r>
      <w:r w:rsidR="003F0608">
        <w:fldChar w:fldCharType="separate"/>
      </w:r>
      <w:r w:rsidR="003F0608" w:rsidRPr="003F0608">
        <w:rPr>
          <w:noProof/>
        </w:rPr>
        <w:t>(Hypothes.is, n.d.)</w:t>
      </w:r>
      <w:r w:rsidR="003F0608">
        <w:fldChar w:fldCharType="end"/>
      </w:r>
      <w:r w:rsidR="00830655">
        <w:t xml:space="preserve">. </w:t>
      </w:r>
      <w:r w:rsidR="006F3C51">
        <w:t xml:space="preserve">If possible, we will have attendees </w:t>
      </w:r>
      <w:proofErr w:type="gramStart"/>
      <w:r w:rsidR="006F3C51">
        <w:t>actually annotate</w:t>
      </w:r>
      <w:proofErr w:type="gramEnd"/>
      <w:r w:rsidR="006F3C51">
        <w:t xml:space="preserve"> an article in the session to give them a true feel for the platform. Hypothes.is integrates with </w:t>
      </w:r>
      <w:r w:rsidR="00482180">
        <w:t xml:space="preserve">LMSs like Blackboard to make assignments and grading relatively easy. </w:t>
      </w:r>
    </w:p>
    <w:p w14:paraId="35BA4BE2" w14:textId="695E5E6B" w:rsidR="009B2407" w:rsidRPr="00A935D7" w:rsidRDefault="009B2407" w:rsidP="00A935D7">
      <w:pPr>
        <w:spacing w:line="480" w:lineRule="auto"/>
        <w:jc w:val="center"/>
        <w:rPr>
          <w:b/>
          <w:bCs/>
        </w:rPr>
      </w:pPr>
      <w:r w:rsidRPr="00A935D7">
        <w:rPr>
          <w:b/>
          <w:bCs/>
        </w:rPr>
        <w:t>PDW Overview</w:t>
      </w:r>
    </w:p>
    <w:p w14:paraId="1B7A3036" w14:textId="778E1C90" w:rsidR="007B438B" w:rsidRDefault="00E500D1" w:rsidP="00C82C9A">
      <w:pPr>
        <w:spacing w:line="480" w:lineRule="auto"/>
      </w:pPr>
      <w:r>
        <w:lastRenderedPageBreak/>
        <w:tab/>
      </w:r>
      <w:r w:rsidR="009B2407">
        <w:t>During the pandemic, we conducted a survey of students and faculty about the FLEX format</w:t>
      </w:r>
      <w:r w:rsidR="00BD4C8B">
        <w:t xml:space="preserve"> at a small private university</w:t>
      </w:r>
      <w:r w:rsidR="009B2407">
        <w:t xml:space="preserve"> to understand the different perceptions of the benefits and challenges faced</w:t>
      </w:r>
      <w:r w:rsidR="00C82C9A">
        <w:t xml:space="preserve">. </w:t>
      </w:r>
      <w:r w:rsidR="009B2407">
        <w:t xml:space="preserve">We review our findings from the survey and then present suggestions and ideas for increasing engagement from students in all modalities with the goal of helping faculty meet the varying needs </w:t>
      </w:r>
      <w:r w:rsidR="005E088C">
        <w:t xml:space="preserve">of students </w:t>
      </w:r>
      <w:r w:rsidR="009B2407">
        <w:t>and provide a beneficial learning experience</w:t>
      </w:r>
      <w:r w:rsidR="00C82C9A">
        <w:t xml:space="preserve">. </w:t>
      </w:r>
      <w:r w:rsidR="00FE6351">
        <w:t>We will begin the session by reviewing our findings, especially the disparity between the perceptions of faculty and students</w:t>
      </w:r>
      <w:r w:rsidR="00C82C9A">
        <w:t xml:space="preserve">. </w:t>
      </w:r>
      <w:r w:rsidR="00FE6351">
        <w:t xml:space="preserve">We then present suggestions and ideas </w:t>
      </w:r>
      <w:r w:rsidR="005E088C">
        <w:t>from</w:t>
      </w:r>
      <w:r w:rsidR="00FE6351">
        <w:t xml:space="preserve"> our own work for increasing engagement from students in all modalities with the goal of helping faculty meet their varying needs and provide a beneficial learning experience</w:t>
      </w:r>
      <w:r w:rsidR="00C82C9A">
        <w:t xml:space="preserve">. </w:t>
      </w:r>
      <w:r w:rsidR="007B438B">
        <w:t xml:space="preserve">Finally, </w:t>
      </w:r>
      <w:r w:rsidR="00C82C9A">
        <w:t xml:space="preserve">we ask </w:t>
      </w:r>
      <w:r w:rsidR="007B438B">
        <w:t>participants to share their own ideas and challenges with the group</w:t>
      </w:r>
      <w:r w:rsidR="00C82C9A">
        <w:t xml:space="preserve">. </w:t>
      </w:r>
      <w:r w:rsidR="007B438B">
        <w:t xml:space="preserve">Depending upon the experience </w:t>
      </w:r>
      <w:r>
        <w:t xml:space="preserve">level </w:t>
      </w:r>
      <w:r w:rsidR="007B438B">
        <w:t xml:space="preserve">of participants, the session may shift to more of a roundtable format to enable extensive sharing and co-learning opportunities. </w:t>
      </w:r>
    </w:p>
    <w:p w14:paraId="2FF7204B" w14:textId="474195A3" w:rsidR="005E088C" w:rsidRDefault="005E088C" w:rsidP="009B2407">
      <w:pPr>
        <w:spacing w:line="480" w:lineRule="auto"/>
      </w:pPr>
      <w:r>
        <w:t xml:space="preserve">Format of the session: </w:t>
      </w:r>
    </w:p>
    <w:p w14:paraId="3A1679BD" w14:textId="11D32F74" w:rsidR="005E088C" w:rsidRDefault="005E088C" w:rsidP="005E088C">
      <w:pPr>
        <w:pStyle w:val="ListParagraph"/>
        <w:numPr>
          <w:ilvl w:val="0"/>
          <w:numId w:val="2"/>
        </w:numPr>
        <w:spacing w:line="480" w:lineRule="auto"/>
      </w:pPr>
      <w:r>
        <w:t>Introductions (</w:t>
      </w:r>
      <w:r w:rsidR="00C63E74">
        <w:t>10</w:t>
      </w:r>
      <w:r>
        <w:t xml:space="preserve"> minutes): </w:t>
      </w:r>
      <w:r w:rsidR="00C82C9A">
        <w:t>We will</w:t>
      </w:r>
      <w:r>
        <w:t xml:space="preserve"> introduce ourselves and the concept of HyFlex teaching and ask participants to briefly share their level of experience with the format.</w:t>
      </w:r>
    </w:p>
    <w:p w14:paraId="5FD33BD4" w14:textId="78C7C888" w:rsidR="005E088C" w:rsidRDefault="005E088C" w:rsidP="005E088C">
      <w:pPr>
        <w:pStyle w:val="ListParagraph"/>
        <w:numPr>
          <w:ilvl w:val="0"/>
          <w:numId w:val="2"/>
        </w:numPr>
        <w:spacing w:line="480" w:lineRule="auto"/>
      </w:pPr>
      <w:r>
        <w:t>Our findings (</w:t>
      </w:r>
      <w:r w:rsidR="00C63E74">
        <w:t>15</w:t>
      </w:r>
      <w:r>
        <w:t xml:space="preserve"> minutes):</w:t>
      </w:r>
      <w:r w:rsidR="007B438B">
        <w:t xml:space="preserve"> </w:t>
      </w:r>
      <w:r w:rsidR="00A60C4E">
        <w:t xml:space="preserve">We will ask attendees about their perceptions of HyFlex using an online polling tool and then present our findings. </w:t>
      </w:r>
      <w:r w:rsidR="002F3D58">
        <w:t xml:space="preserve">There are several major differences between the perception of faculty and students of the FLEX experience. </w:t>
      </w:r>
      <w:r w:rsidR="007B438B">
        <w:t xml:space="preserve">Faculty have a clear preference for </w:t>
      </w:r>
      <w:r w:rsidR="00C82C9A">
        <w:t>face-to-face</w:t>
      </w:r>
      <w:r w:rsidR="007B438B">
        <w:t xml:space="preserve"> teaching, while students overwhelmingly attend online when given the option. Faculty also have a very different perception of how students learn more, believing face</w:t>
      </w:r>
      <w:r w:rsidR="00E500D1">
        <w:t>-</w:t>
      </w:r>
      <w:r w:rsidR="007B438B">
        <w:t>to</w:t>
      </w:r>
      <w:r w:rsidR="00E500D1">
        <w:t>-</w:t>
      </w:r>
      <w:r w:rsidR="007B438B">
        <w:t xml:space="preserve">face provides the strongest learning experience.  Students tend to </w:t>
      </w:r>
      <w:r w:rsidR="00C82C9A">
        <w:t>perceive</w:t>
      </w:r>
      <w:r w:rsidR="007B438B">
        <w:t xml:space="preserve"> they learn just as well or better online</w:t>
      </w:r>
      <w:r w:rsidR="002F3D58">
        <w:t xml:space="preserve"> and that they participate just as often when online, suggesting the possibility of different definitions of what constitutes </w:t>
      </w:r>
      <w:r w:rsidR="00E500D1">
        <w:t>“</w:t>
      </w:r>
      <w:r w:rsidR="002F3D58">
        <w:t>participation.</w:t>
      </w:r>
      <w:r w:rsidR="00E500D1">
        <w:t>”</w:t>
      </w:r>
      <w:r w:rsidR="002F3D58">
        <w:t xml:space="preserve"> Faculty also were more conscious of technology issues than students. To </w:t>
      </w:r>
      <w:r w:rsidR="002F3D58">
        <w:lastRenderedPageBreak/>
        <w:t>improve the experience for both faculty and students, we suggest the increased use of interactive activities across modalities that improve student engagement.</w:t>
      </w:r>
    </w:p>
    <w:p w14:paraId="34F50D37" w14:textId="38D2E8BA" w:rsidR="005E088C" w:rsidRDefault="007B438B" w:rsidP="005E088C">
      <w:pPr>
        <w:pStyle w:val="ListParagraph"/>
        <w:numPr>
          <w:ilvl w:val="0"/>
          <w:numId w:val="2"/>
        </w:numPr>
        <w:spacing w:line="480" w:lineRule="auto"/>
      </w:pPr>
      <w:r>
        <w:t xml:space="preserve">Tips and </w:t>
      </w:r>
      <w:r w:rsidR="005E088C">
        <w:t>Technology demo</w:t>
      </w:r>
      <w:r w:rsidR="00433B4D">
        <w:t xml:space="preserve"> </w:t>
      </w:r>
      <w:r w:rsidR="005E088C">
        <w:t>(</w:t>
      </w:r>
      <w:r w:rsidR="00C63E74">
        <w:t>20</w:t>
      </w:r>
      <w:r w:rsidR="005E088C">
        <w:t xml:space="preserve"> minutes): </w:t>
      </w:r>
      <w:r w:rsidR="00433B4D">
        <w:t>W</w:t>
      </w:r>
      <w:r w:rsidR="00C82C9A">
        <w:t>e will</w:t>
      </w:r>
      <w:r w:rsidR="005E088C">
        <w:t xml:space="preserve"> share </w:t>
      </w:r>
      <w:r>
        <w:t xml:space="preserve">techniques like the Flipped Classroom and tools </w:t>
      </w:r>
      <w:r w:rsidR="005E088C">
        <w:t>like Hypothes</w:t>
      </w:r>
      <w:r w:rsidR="001E2F45">
        <w:t>.</w:t>
      </w:r>
      <w:r w:rsidR="005E088C">
        <w:t xml:space="preserve">is that can engage students across </w:t>
      </w:r>
      <w:r w:rsidR="00C82C9A">
        <w:t>modalities.</w:t>
      </w:r>
    </w:p>
    <w:p w14:paraId="53A4805C" w14:textId="5979F28A" w:rsidR="005E088C" w:rsidRDefault="005E088C" w:rsidP="002F3D58">
      <w:pPr>
        <w:pStyle w:val="ListParagraph"/>
        <w:numPr>
          <w:ilvl w:val="0"/>
          <w:numId w:val="2"/>
        </w:numPr>
        <w:spacing w:line="480" w:lineRule="auto"/>
      </w:pPr>
      <w:r>
        <w:t>Q &amp; A and Discussion (</w:t>
      </w:r>
      <w:r w:rsidR="00C63E74">
        <w:t>15-30</w:t>
      </w:r>
      <w:r>
        <w:t xml:space="preserve"> minutes): We want to leave ample time to </w:t>
      </w:r>
      <w:r w:rsidR="007012AA">
        <w:t xml:space="preserve">allow participants to share their own experiences and to ask questions. </w:t>
      </w:r>
      <w:r w:rsidR="00892FFA">
        <w:t xml:space="preserve">HyFlex is challenging and it may benefit </w:t>
      </w:r>
      <w:r w:rsidR="009D297F">
        <w:t>instructors with experience with the format to have a chance to vent frustrations as well as to share wins.</w:t>
      </w:r>
      <w:r w:rsidR="001E2F45">
        <w:t xml:space="preserve"> If attendees are less experienced, we will ask them to imagine the challenges of the format and discuss solutions in small groups before </w:t>
      </w:r>
      <w:proofErr w:type="gramStart"/>
      <w:r w:rsidR="001E2F45">
        <w:t xml:space="preserve">discussing </w:t>
      </w:r>
      <w:r w:rsidR="00D370B8">
        <w:t>as a whole</w:t>
      </w:r>
      <w:proofErr w:type="gramEnd"/>
      <w:r w:rsidR="00D370B8">
        <w:t xml:space="preserve">. </w:t>
      </w:r>
    </w:p>
    <w:p w14:paraId="7D49C6E8" w14:textId="6DCE2186" w:rsidR="00C63E74" w:rsidRDefault="00C63E74" w:rsidP="00C63E74">
      <w:pPr>
        <w:spacing w:line="480" w:lineRule="auto"/>
        <w:ind w:left="360"/>
      </w:pPr>
    </w:p>
    <w:p w14:paraId="1B8D9A50" w14:textId="77777777" w:rsidR="00B1162D" w:rsidRDefault="00B1162D">
      <w:pPr>
        <w:rPr>
          <w:u w:val="single"/>
        </w:rPr>
      </w:pPr>
      <w:r>
        <w:br w:type="page"/>
      </w:r>
    </w:p>
    <w:p w14:paraId="17E8FDBB" w14:textId="63ED2411" w:rsidR="00C63E74" w:rsidRPr="00A935D7" w:rsidRDefault="00C63E74" w:rsidP="00A935D7">
      <w:pPr>
        <w:pStyle w:val="Heading2"/>
        <w:ind w:left="0"/>
        <w:jc w:val="center"/>
        <w:rPr>
          <w:b/>
          <w:bCs/>
          <w:u w:val="none"/>
        </w:rPr>
      </w:pPr>
      <w:r w:rsidRPr="00A935D7">
        <w:rPr>
          <w:b/>
          <w:bCs/>
          <w:u w:val="none"/>
        </w:rPr>
        <w:lastRenderedPageBreak/>
        <w:t>References</w:t>
      </w:r>
    </w:p>
    <w:p w14:paraId="69A501F3" w14:textId="6312F352" w:rsidR="003F0608" w:rsidRPr="003F0608" w:rsidRDefault="00C63E74" w:rsidP="003F0608">
      <w:pPr>
        <w:widowControl w:val="0"/>
        <w:autoSpaceDE w:val="0"/>
        <w:autoSpaceDN w:val="0"/>
        <w:adjustRightInd w:val="0"/>
        <w:spacing w:after="120"/>
        <w:ind w:left="480" w:hanging="480"/>
        <w:rPr>
          <w:noProof/>
        </w:rPr>
      </w:pPr>
      <w:r>
        <w:fldChar w:fldCharType="begin" w:fldLock="1"/>
      </w:r>
      <w:r>
        <w:instrText xml:space="preserve">ADDIN Mendeley Bibliography CSL_BIBLIOGRAPHY </w:instrText>
      </w:r>
      <w:r>
        <w:fldChar w:fldCharType="separate"/>
      </w:r>
      <w:r w:rsidR="003F0608" w:rsidRPr="003F0608">
        <w:rPr>
          <w:noProof/>
        </w:rPr>
        <w:t xml:space="preserve">Abdelmalak, M. M. M., &amp; Parra, J. L. (2016). Expanding Learning Opportunities for Graduate Students with HyFlex Course Design. </w:t>
      </w:r>
      <w:r w:rsidR="003F0608" w:rsidRPr="003F0608">
        <w:rPr>
          <w:i/>
          <w:iCs/>
          <w:noProof/>
        </w:rPr>
        <w:t>International Journal of Online Pedagogy and Course Design</w:t>
      </w:r>
      <w:r w:rsidR="003F0608" w:rsidRPr="003F0608">
        <w:rPr>
          <w:noProof/>
        </w:rPr>
        <w:t xml:space="preserve">, </w:t>
      </w:r>
      <w:r w:rsidR="003F0608" w:rsidRPr="003F0608">
        <w:rPr>
          <w:i/>
          <w:iCs/>
          <w:noProof/>
        </w:rPr>
        <w:t>6</w:t>
      </w:r>
      <w:r w:rsidR="003F0608" w:rsidRPr="003F0608">
        <w:rPr>
          <w:noProof/>
        </w:rPr>
        <w:t>(4), 19–37. https://doi.org/10.4018/ijopcd.2016100102</w:t>
      </w:r>
    </w:p>
    <w:p w14:paraId="7A48C7ED"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Beatty, B. J. (2019). Values and principles of hybrid-flexible course design. In B. B. Beatty (Ed.), </w:t>
      </w:r>
      <w:r w:rsidRPr="003F0608">
        <w:rPr>
          <w:i/>
          <w:iCs/>
          <w:noProof/>
        </w:rPr>
        <w:t>Hybrid-flexible course design: Implementing student-directed hybrid classes</w:t>
      </w:r>
      <w:r w:rsidRPr="003F0608">
        <w:rPr>
          <w:noProof/>
        </w:rPr>
        <w:t xml:space="preserve"> (1st ed.). EdTech Books. https://edtechbooks.org/hyflex</w:t>
      </w:r>
    </w:p>
    <w:p w14:paraId="552ACA94"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Bhattacharya, M., Howard, T. L., &amp; Ulferts, G. W. (2020). A Study of Students’ Perceptions About Online Versus Traditional Teaching. </w:t>
      </w:r>
      <w:r w:rsidRPr="003F0608">
        <w:rPr>
          <w:i/>
          <w:iCs/>
          <w:noProof/>
        </w:rPr>
        <w:t>Journal of Higher Education Theory and Practice</w:t>
      </w:r>
      <w:r w:rsidRPr="003F0608">
        <w:rPr>
          <w:noProof/>
        </w:rPr>
        <w:t xml:space="preserve">, </w:t>
      </w:r>
      <w:r w:rsidRPr="003F0608">
        <w:rPr>
          <w:i/>
          <w:iCs/>
          <w:noProof/>
        </w:rPr>
        <w:t>20</w:t>
      </w:r>
      <w:r w:rsidRPr="003F0608">
        <w:rPr>
          <w:noProof/>
        </w:rPr>
        <w:t>(15), 117–125.</w:t>
      </w:r>
    </w:p>
    <w:p w14:paraId="65AA76CA"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Conklin, S., Lowenthal, P., &amp; Trespalacios, J. (2019). Graduate Students’ Perceptions of Interactions in a Blended Synchronous Learning Environment. </w:t>
      </w:r>
      <w:r w:rsidRPr="003F0608">
        <w:rPr>
          <w:i/>
          <w:iCs/>
          <w:noProof/>
        </w:rPr>
        <w:t>Quarter</w:t>
      </w:r>
      <w:r w:rsidRPr="003F0608">
        <w:rPr>
          <w:noProof/>
        </w:rPr>
        <w:t xml:space="preserve">, </w:t>
      </w:r>
      <w:r w:rsidRPr="003F0608">
        <w:rPr>
          <w:i/>
          <w:iCs/>
          <w:noProof/>
        </w:rPr>
        <w:t>20</w:t>
      </w:r>
      <w:r w:rsidRPr="003F0608">
        <w:rPr>
          <w:noProof/>
        </w:rPr>
        <w:t>(4), 45–59.</w:t>
      </w:r>
    </w:p>
    <w:p w14:paraId="579C1A38"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Heilporn, G., &amp; Lakhal, S. (2021). Converting a graduate-level course into a HyFlex modality: What are effective engagement strategies? </w:t>
      </w:r>
      <w:r w:rsidRPr="003F0608">
        <w:rPr>
          <w:i/>
          <w:iCs/>
          <w:noProof/>
        </w:rPr>
        <w:t>International Journal of Management Education</w:t>
      </w:r>
      <w:r w:rsidRPr="003F0608">
        <w:rPr>
          <w:noProof/>
        </w:rPr>
        <w:t xml:space="preserve">, </w:t>
      </w:r>
      <w:r w:rsidRPr="003F0608">
        <w:rPr>
          <w:i/>
          <w:iCs/>
          <w:noProof/>
        </w:rPr>
        <w:t>19</w:t>
      </w:r>
      <w:r w:rsidRPr="003F0608">
        <w:rPr>
          <w:noProof/>
        </w:rPr>
        <w:t>(1). https://doi.org/10.1016/j.ijme.2021.100454</w:t>
      </w:r>
    </w:p>
    <w:p w14:paraId="1AA6B355"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Hypothes.is. (n.d.). </w:t>
      </w:r>
      <w:r w:rsidRPr="003F0608">
        <w:rPr>
          <w:i/>
          <w:iCs/>
          <w:noProof/>
        </w:rPr>
        <w:t>Hypothesis for Education</w:t>
      </w:r>
      <w:r w:rsidRPr="003F0608">
        <w:rPr>
          <w:noProof/>
        </w:rPr>
        <w:t>. Retrieved January 23, 2023, from https://web.hypothes.is/education/</w:t>
      </w:r>
    </w:p>
    <w:p w14:paraId="083A8751"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Leijon, M., &amp; Lundgren, B. (2019). Connecting physical and virtual spaces in a HyFlex pedagogic model with a focus on teacher interaction. </w:t>
      </w:r>
      <w:r w:rsidRPr="003F0608">
        <w:rPr>
          <w:i/>
          <w:iCs/>
          <w:noProof/>
        </w:rPr>
        <w:t>Journal of Learning Spaces</w:t>
      </w:r>
      <w:r w:rsidRPr="003F0608">
        <w:rPr>
          <w:noProof/>
        </w:rPr>
        <w:t xml:space="preserve">, </w:t>
      </w:r>
      <w:r w:rsidRPr="003F0608">
        <w:rPr>
          <w:i/>
          <w:iCs/>
          <w:noProof/>
        </w:rPr>
        <w:t>8</w:t>
      </w:r>
      <w:r w:rsidRPr="003F0608">
        <w:rPr>
          <w:noProof/>
        </w:rPr>
        <w:t>(1), 1–9.</w:t>
      </w:r>
    </w:p>
    <w:p w14:paraId="4865F42F"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Major, C. (2020). Innovations in Teaching and Learning during a Time of Crisis. </w:t>
      </w:r>
      <w:r w:rsidRPr="003F0608">
        <w:rPr>
          <w:i/>
          <w:iCs/>
          <w:noProof/>
        </w:rPr>
        <w:t>Innovative Higher Education</w:t>
      </w:r>
      <w:r w:rsidRPr="003F0608">
        <w:rPr>
          <w:noProof/>
        </w:rPr>
        <w:t xml:space="preserve">, </w:t>
      </w:r>
      <w:r w:rsidRPr="003F0608">
        <w:rPr>
          <w:i/>
          <w:iCs/>
          <w:noProof/>
        </w:rPr>
        <w:t>45</w:t>
      </w:r>
      <w:r w:rsidRPr="003F0608">
        <w:rPr>
          <w:noProof/>
        </w:rPr>
        <w:t>(4), 265–266. https://doi.org/10.1007/s10755-020-09514-w</w:t>
      </w:r>
    </w:p>
    <w:p w14:paraId="0A558D0A" w14:textId="77777777" w:rsidR="003F0608" w:rsidRPr="003F0608" w:rsidRDefault="003F0608" w:rsidP="003F0608">
      <w:pPr>
        <w:widowControl w:val="0"/>
        <w:autoSpaceDE w:val="0"/>
        <w:autoSpaceDN w:val="0"/>
        <w:adjustRightInd w:val="0"/>
        <w:spacing w:after="120"/>
        <w:ind w:left="480" w:hanging="480"/>
        <w:rPr>
          <w:noProof/>
        </w:rPr>
      </w:pPr>
      <w:r w:rsidRPr="003F0608">
        <w:rPr>
          <w:noProof/>
        </w:rPr>
        <w:t xml:space="preserve">Watts, L. (2016). Synchronous and asynchronous communication in distance learning: A review of the literature. </w:t>
      </w:r>
      <w:r w:rsidRPr="003F0608">
        <w:rPr>
          <w:i/>
          <w:iCs/>
          <w:noProof/>
        </w:rPr>
        <w:t>Quarterly Review of Distance Education</w:t>
      </w:r>
      <w:r w:rsidRPr="003F0608">
        <w:rPr>
          <w:noProof/>
        </w:rPr>
        <w:t xml:space="preserve">, </w:t>
      </w:r>
      <w:r w:rsidRPr="003F0608">
        <w:rPr>
          <w:i/>
          <w:iCs/>
          <w:noProof/>
        </w:rPr>
        <w:t>17</w:t>
      </w:r>
      <w:r w:rsidRPr="003F0608">
        <w:rPr>
          <w:noProof/>
        </w:rPr>
        <w:t>(1), 23–32.</w:t>
      </w:r>
    </w:p>
    <w:p w14:paraId="624CC96B" w14:textId="5CF362BF" w:rsidR="00C63E74" w:rsidRPr="00C63E74" w:rsidRDefault="00C63E74" w:rsidP="00C63E74">
      <w:pPr>
        <w:spacing w:after="120"/>
        <w:ind w:left="360"/>
      </w:pPr>
      <w:r>
        <w:fldChar w:fldCharType="end"/>
      </w:r>
    </w:p>
    <w:sectPr w:rsidR="00C63E74" w:rsidRPr="00C63E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A111D" w14:textId="77777777" w:rsidR="0084083F" w:rsidRDefault="0084083F" w:rsidP="00CC5636">
      <w:r>
        <w:separator/>
      </w:r>
    </w:p>
  </w:endnote>
  <w:endnote w:type="continuationSeparator" w:id="0">
    <w:p w14:paraId="4C6D2FD8" w14:textId="77777777" w:rsidR="0084083F" w:rsidRDefault="0084083F" w:rsidP="00CC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CF6D" w14:textId="77777777" w:rsidR="0084083F" w:rsidRDefault="0084083F" w:rsidP="00CC5636">
      <w:r>
        <w:separator/>
      </w:r>
    </w:p>
  </w:footnote>
  <w:footnote w:type="continuationSeparator" w:id="0">
    <w:p w14:paraId="7CA51746" w14:textId="77777777" w:rsidR="0084083F" w:rsidRDefault="0084083F" w:rsidP="00CC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284F" w14:textId="4846AD74" w:rsidR="00327A48" w:rsidRDefault="00327A48" w:rsidP="00A935D7">
    <w:pPr>
      <w:pStyle w:val="Header"/>
    </w:pPr>
    <w:r>
      <w:t xml:space="preserve">TEACHING IN A HYFLEX ENVIRONMENT </w:t>
    </w:r>
    <w:r w:rsidR="00DE56C5">
      <w:tab/>
    </w:r>
    <w:r w:rsidR="00DE56C5">
      <w:tab/>
    </w:r>
    <w:sdt>
      <w:sdtPr>
        <w:id w:val="294881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507ABD9" w14:textId="77777777" w:rsidR="00CC5636" w:rsidRDefault="00CC5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F9B"/>
    <w:multiLevelType w:val="multilevel"/>
    <w:tmpl w:val="53C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42F30"/>
    <w:multiLevelType w:val="hybridMultilevel"/>
    <w:tmpl w:val="DF5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16784"/>
    <w:multiLevelType w:val="hybridMultilevel"/>
    <w:tmpl w:val="E00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735935">
    <w:abstractNumId w:val="0"/>
  </w:num>
  <w:num w:numId="2" w16cid:durableId="371267391">
    <w:abstractNumId w:val="1"/>
  </w:num>
  <w:num w:numId="3" w16cid:durableId="150486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36"/>
    <w:rsid w:val="00012EA0"/>
    <w:rsid w:val="000C6A7C"/>
    <w:rsid w:val="000F245F"/>
    <w:rsid w:val="001B4E18"/>
    <w:rsid w:val="001C2843"/>
    <w:rsid w:val="001E2F45"/>
    <w:rsid w:val="00295D26"/>
    <w:rsid w:val="002B6174"/>
    <w:rsid w:val="002F3D58"/>
    <w:rsid w:val="00327A48"/>
    <w:rsid w:val="0038416A"/>
    <w:rsid w:val="003F0608"/>
    <w:rsid w:val="00422668"/>
    <w:rsid w:val="00433B4D"/>
    <w:rsid w:val="00476067"/>
    <w:rsid w:val="00482180"/>
    <w:rsid w:val="00514FC7"/>
    <w:rsid w:val="00551B50"/>
    <w:rsid w:val="005557A9"/>
    <w:rsid w:val="005A4A78"/>
    <w:rsid w:val="005E088C"/>
    <w:rsid w:val="005E1D07"/>
    <w:rsid w:val="00600064"/>
    <w:rsid w:val="006807A7"/>
    <w:rsid w:val="006F20A5"/>
    <w:rsid w:val="006F3C51"/>
    <w:rsid w:val="006F61BA"/>
    <w:rsid w:val="007012AA"/>
    <w:rsid w:val="00720853"/>
    <w:rsid w:val="0073689D"/>
    <w:rsid w:val="0079075D"/>
    <w:rsid w:val="007B438B"/>
    <w:rsid w:val="007F490A"/>
    <w:rsid w:val="00814E18"/>
    <w:rsid w:val="00830655"/>
    <w:rsid w:val="0084083F"/>
    <w:rsid w:val="00845306"/>
    <w:rsid w:val="00892FFA"/>
    <w:rsid w:val="009B2407"/>
    <w:rsid w:val="009B716F"/>
    <w:rsid w:val="009D297F"/>
    <w:rsid w:val="009D481E"/>
    <w:rsid w:val="00A32A00"/>
    <w:rsid w:val="00A60C4E"/>
    <w:rsid w:val="00A86BAB"/>
    <w:rsid w:val="00A935D7"/>
    <w:rsid w:val="00AB4C88"/>
    <w:rsid w:val="00AD2A1B"/>
    <w:rsid w:val="00B1162D"/>
    <w:rsid w:val="00B17C43"/>
    <w:rsid w:val="00B232B6"/>
    <w:rsid w:val="00B26853"/>
    <w:rsid w:val="00B3586C"/>
    <w:rsid w:val="00B56EE3"/>
    <w:rsid w:val="00B651C3"/>
    <w:rsid w:val="00BA7801"/>
    <w:rsid w:val="00BD4C8B"/>
    <w:rsid w:val="00C63E74"/>
    <w:rsid w:val="00C65AFF"/>
    <w:rsid w:val="00C82C9A"/>
    <w:rsid w:val="00C962BD"/>
    <w:rsid w:val="00CA577A"/>
    <w:rsid w:val="00CC5636"/>
    <w:rsid w:val="00CD6A35"/>
    <w:rsid w:val="00CE5EC0"/>
    <w:rsid w:val="00D370B8"/>
    <w:rsid w:val="00D81A9D"/>
    <w:rsid w:val="00D86999"/>
    <w:rsid w:val="00DB7D4D"/>
    <w:rsid w:val="00DE56C5"/>
    <w:rsid w:val="00E500D1"/>
    <w:rsid w:val="00E701E3"/>
    <w:rsid w:val="00E876C5"/>
    <w:rsid w:val="00EF036A"/>
    <w:rsid w:val="00F260C7"/>
    <w:rsid w:val="00F43BD5"/>
    <w:rsid w:val="00F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41B2"/>
  <w15:chartTrackingRefBased/>
  <w15:docId w15:val="{B8994CD6-9112-438D-9B65-CF84CC2C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38B"/>
    <w:pPr>
      <w:keepNext/>
      <w:spacing w:line="480" w:lineRule="auto"/>
      <w:jc w:val="both"/>
      <w:outlineLvl w:val="0"/>
    </w:pPr>
    <w:rPr>
      <w:u w:val="single"/>
    </w:rPr>
  </w:style>
  <w:style w:type="paragraph" w:styleId="Heading2">
    <w:name w:val="heading 2"/>
    <w:basedOn w:val="Normal"/>
    <w:next w:val="Normal"/>
    <w:link w:val="Heading2Char"/>
    <w:uiPriority w:val="9"/>
    <w:unhideWhenUsed/>
    <w:qFormat/>
    <w:rsid w:val="00C63E74"/>
    <w:pPr>
      <w:keepNext/>
      <w:spacing w:line="480" w:lineRule="auto"/>
      <w:ind w:left="360"/>
      <w:outlineLvl w:val="1"/>
    </w:pPr>
    <w:rPr>
      <w:u w:val="single"/>
    </w:rPr>
  </w:style>
  <w:style w:type="paragraph" w:styleId="Heading3">
    <w:name w:val="heading 3"/>
    <w:basedOn w:val="Normal"/>
    <w:next w:val="Normal"/>
    <w:link w:val="Heading3Char"/>
    <w:uiPriority w:val="9"/>
    <w:unhideWhenUsed/>
    <w:qFormat/>
    <w:rsid w:val="00A935D7"/>
    <w:pPr>
      <w:keepNext/>
      <w:spacing w:line="480" w:lineRule="auto"/>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36"/>
    <w:pPr>
      <w:tabs>
        <w:tab w:val="center" w:pos="4680"/>
        <w:tab w:val="right" w:pos="9360"/>
      </w:tabs>
    </w:pPr>
  </w:style>
  <w:style w:type="character" w:customStyle="1" w:styleId="HeaderChar">
    <w:name w:val="Header Char"/>
    <w:basedOn w:val="DefaultParagraphFont"/>
    <w:link w:val="Header"/>
    <w:uiPriority w:val="99"/>
    <w:rsid w:val="00CC5636"/>
  </w:style>
  <w:style w:type="paragraph" w:styleId="Footer">
    <w:name w:val="footer"/>
    <w:basedOn w:val="Normal"/>
    <w:link w:val="FooterChar"/>
    <w:uiPriority w:val="99"/>
    <w:unhideWhenUsed/>
    <w:rsid w:val="00CC5636"/>
    <w:pPr>
      <w:tabs>
        <w:tab w:val="center" w:pos="4680"/>
        <w:tab w:val="right" w:pos="9360"/>
      </w:tabs>
    </w:pPr>
  </w:style>
  <w:style w:type="character" w:customStyle="1" w:styleId="FooterChar">
    <w:name w:val="Footer Char"/>
    <w:basedOn w:val="DefaultParagraphFont"/>
    <w:link w:val="Footer"/>
    <w:uiPriority w:val="99"/>
    <w:rsid w:val="00CC5636"/>
  </w:style>
  <w:style w:type="character" w:styleId="Strong">
    <w:name w:val="Strong"/>
    <w:basedOn w:val="DefaultParagraphFont"/>
    <w:uiPriority w:val="22"/>
    <w:qFormat/>
    <w:rsid w:val="00C65AFF"/>
    <w:rPr>
      <w:b/>
      <w:bCs/>
    </w:rPr>
  </w:style>
  <w:style w:type="paragraph" w:styleId="Revision">
    <w:name w:val="Revision"/>
    <w:hidden/>
    <w:uiPriority w:val="99"/>
    <w:semiHidden/>
    <w:rsid w:val="00D81A9D"/>
  </w:style>
  <w:style w:type="paragraph" w:styleId="ListParagraph">
    <w:name w:val="List Paragraph"/>
    <w:basedOn w:val="Normal"/>
    <w:uiPriority w:val="34"/>
    <w:qFormat/>
    <w:rsid w:val="005E088C"/>
    <w:pPr>
      <w:ind w:left="720"/>
      <w:contextualSpacing/>
    </w:pPr>
  </w:style>
  <w:style w:type="character" w:styleId="Hyperlink">
    <w:name w:val="Hyperlink"/>
    <w:basedOn w:val="DefaultParagraphFont"/>
    <w:uiPriority w:val="99"/>
    <w:unhideWhenUsed/>
    <w:rsid w:val="007012AA"/>
    <w:rPr>
      <w:color w:val="0563C1" w:themeColor="hyperlink"/>
      <w:u w:val="single"/>
    </w:rPr>
  </w:style>
  <w:style w:type="character" w:styleId="UnresolvedMention">
    <w:name w:val="Unresolved Mention"/>
    <w:basedOn w:val="DefaultParagraphFont"/>
    <w:uiPriority w:val="99"/>
    <w:semiHidden/>
    <w:unhideWhenUsed/>
    <w:rsid w:val="007012AA"/>
    <w:rPr>
      <w:color w:val="605E5C"/>
      <w:shd w:val="clear" w:color="auto" w:fill="E1DFDD"/>
    </w:rPr>
  </w:style>
  <w:style w:type="character" w:styleId="CommentReference">
    <w:name w:val="annotation reference"/>
    <w:basedOn w:val="DefaultParagraphFont"/>
    <w:uiPriority w:val="99"/>
    <w:semiHidden/>
    <w:unhideWhenUsed/>
    <w:rsid w:val="007012AA"/>
    <w:rPr>
      <w:sz w:val="16"/>
      <w:szCs w:val="16"/>
    </w:rPr>
  </w:style>
  <w:style w:type="paragraph" w:styleId="CommentText">
    <w:name w:val="annotation text"/>
    <w:basedOn w:val="Normal"/>
    <w:link w:val="CommentTextChar"/>
    <w:uiPriority w:val="99"/>
    <w:unhideWhenUsed/>
    <w:rsid w:val="007012AA"/>
    <w:rPr>
      <w:sz w:val="20"/>
      <w:szCs w:val="20"/>
    </w:rPr>
  </w:style>
  <w:style w:type="character" w:customStyle="1" w:styleId="CommentTextChar">
    <w:name w:val="Comment Text Char"/>
    <w:basedOn w:val="DefaultParagraphFont"/>
    <w:link w:val="CommentText"/>
    <w:uiPriority w:val="99"/>
    <w:rsid w:val="007012AA"/>
    <w:rPr>
      <w:sz w:val="20"/>
      <w:szCs w:val="20"/>
    </w:rPr>
  </w:style>
  <w:style w:type="paragraph" w:styleId="CommentSubject">
    <w:name w:val="annotation subject"/>
    <w:basedOn w:val="CommentText"/>
    <w:next w:val="CommentText"/>
    <w:link w:val="CommentSubjectChar"/>
    <w:uiPriority w:val="99"/>
    <w:semiHidden/>
    <w:unhideWhenUsed/>
    <w:rsid w:val="007012AA"/>
    <w:rPr>
      <w:b/>
      <w:bCs/>
    </w:rPr>
  </w:style>
  <w:style w:type="character" w:customStyle="1" w:styleId="CommentSubjectChar">
    <w:name w:val="Comment Subject Char"/>
    <w:basedOn w:val="CommentTextChar"/>
    <w:link w:val="CommentSubject"/>
    <w:uiPriority w:val="99"/>
    <w:semiHidden/>
    <w:rsid w:val="007012AA"/>
    <w:rPr>
      <w:b/>
      <w:bCs/>
      <w:sz w:val="20"/>
      <w:szCs w:val="20"/>
    </w:rPr>
  </w:style>
  <w:style w:type="character" w:customStyle="1" w:styleId="Heading1Char">
    <w:name w:val="Heading 1 Char"/>
    <w:basedOn w:val="DefaultParagraphFont"/>
    <w:link w:val="Heading1"/>
    <w:uiPriority w:val="9"/>
    <w:rsid w:val="007B438B"/>
    <w:rPr>
      <w:u w:val="single"/>
    </w:rPr>
  </w:style>
  <w:style w:type="character" w:customStyle="1" w:styleId="Heading2Char">
    <w:name w:val="Heading 2 Char"/>
    <w:basedOn w:val="DefaultParagraphFont"/>
    <w:link w:val="Heading2"/>
    <w:uiPriority w:val="9"/>
    <w:rsid w:val="00C63E74"/>
    <w:rPr>
      <w:u w:val="single"/>
    </w:rPr>
  </w:style>
  <w:style w:type="character" w:customStyle="1" w:styleId="Heading3Char">
    <w:name w:val="Heading 3 Char"/>
    <w:basedOn w:val="DefaultParagraphFont"/>
    <w:link w:val="Heading3"/>
    <w:uiPriority w:val="9"/>
    <w:rsid w:val="00A935D7"/>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0460-4585-40EC-A41D-0DD7809C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Cathryn</dc:creator>
  <cp:keywords/>
  <dc:description/>
  <cp:lastModifiedBy>Cathryn Meegan</cp:lastModifiedBy>
  <cp:revision>56</cp:revision>
  <dcterms:created xsi:type="dcterms:W3CDTF">2023-01-23T14:11:00Z</dcterms:created>
  <dcterms:modified xsi:type="dcterms:W3CDTF">2023-01-23T15:26:00Z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98adee25-81e2-3968-8453-c94ca89b892d</vt:lpwstr>
  </property>
  <property fmtid="{D5CDD505-2E9C-101B-9397-08002B2CF9AE}" pid="24" name="Mendeley Citation Style_1">
    <vt:lpwstr>http://www.zotero.org/styles/apa</vt:lpwstr>
  </property>
</Properties>
</file>