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F30F" w14:textId="36D58E1E" w:rsidR="00D5330F" w:rsidRDefault="00D5330F" w:rsidP="00D77AB8">
      <w:pPr>
        <w:ind w:firstLine="720"/>
        <w:rPr>
          <w:rFonts w:eastAsia="Times New Roman" w:cs="Times New Roman"/>
          <w:b/>
          <w:bCs/>
          <w:szCs w:val="24"/>
        </w:rPr>
      </w:pPr>
      <w:proofErr w:type="spellStart"/>
      <w:r w:rsidRPr="00D77AB8">
        <w:rPr>
          <w:rFonts w:eastAsia="Times New Roman" w:cs="Times New Roman"/>
          <w:b/>
          <w:bCs/>
          <w:szCs w:val="24"/>
        </w:rPr>
        <w:t>SaP</w:t>
      </w:r>
      <w:proofErr w:type="spellEnd"/>
      <w:r w:rsidRPr="00D77AB8">
        <w:rPr>
          <w:rFonts w:eastAsia="Times New Roman" w:cs="Times New Roman"/>
          <w:b/>
          <w:bCs/>
          <w:szCs w:val="24"/>
        </w:rPr>
        <w:t xml:space="preserve"> o’clock: </w:t>
      </w:r>
      <w:r w:rsidR="00153F28">
        <w:rPr>
          <w:rFonts w:eastAsia="Times New Roman" w:cs="Times New Roman"/>
          <w:b/>
          <w:bCs/>
          <w:szCs w:val="24"/>
        </w:rPr>
        <w:t>S</w:t>
      </w:r>
      <w:r w:rsidR="00566B6B" w:rsidRPr="00D77AB8">
        <w:rPr>
          <w:rFonts w:eastAsia="Times New Roman" w:cs="Times New Roman"/>
          <w:b/>
          <w:bCs/>
          <w:szCs w:val="24"/>
        </w:rPr>
        <w:t>tudent-educator experience</w:t>
      </w:r>
      <w:r w:rsidR="00153F28">
        <w:rPr>
          <w:rFonts w:eastAsia="Times New Roman" w:cs="Times New Roman"/>
          <w:b/>
          <w:bCs/>
          <w:szCs w:val="24"/>
        </w:rPr>
        <w:t xml:space="preserve">s with the </w:t>
      </w:r>
      <w:proofErr w:type="gramStart"/>
      <w:r w:rsidR="00153F28" w:rsidRPr="00D77AB8">
        <w:rPr>
          <w:rFonts w:eastAsia="Times New Roman" w:cs="Times New Roman"/>
          <w:b/>
          <w:bCs/>
          <w:szCs w:val="24"/>
        </w:rPr>
        <w:t>Students</w:t>
      </w:r>
      <w:proofErr w:type="gramEnd"/>
      <w:r w:rsidR="00153F28" w:rsidRPr="00D77AB8">
        <w:rPr>
          <w:rFonts w:eastAsia="Times New Roman" w:cs="Times New Roman"/>
          <w:b/>
          <w:bCs/>
          <w:szCs w:val="24"/>
        </w:rPr>
        <w:t>-as-Partners (</w:t>
      </w:r>
      <w:proofErr w:type="spellStart"/>
      <w:r w:rsidR="00153F28" w:rsidRPr="00D77AB8">
        <w:rPr>
          <w:rFonts w:eastAsia="Times New Roman" w:cs="Times New Roman"/>
          <w:b/>
          <w:bCs/>
          <w:szCs w:val="24"/>
        </w:rPr>
        <w:t>SaP</w:t>
      </w:r>
      <w:proofErr w:type="spellEnd"/>
      <w:r w:rsidR="00153F28" w:rsidRPr="00D77AB8">
        <w:rPr>
          <w:rFonts w:eastAsia="Times New Roman" w:cs="Times New Roman"/>
          <w:b/>
          <w:bCs/>
          <w:szCs w:val="24"/>
        </w:rPr>
        <w:t>)</w:t>
      </w:r>
      <w:r w:rsidR="005B460A">
        <w:rPr>
          <w:rFonts w:eastAsia="Times New Roman" w:cs="Times New Roman"/>
          <w:b/>
          <w:bCs/>
          <w:szCs w:val="24"/>
        </w:rPr>
        <w:t xml:space="preserve"> </w:t>
      </w:r>
      <w:r w:rsidR="00153F28" w:rsidRPr="00D77AB8">
        <w:rPr>
          <w:rFonts w:eastAsia="Times New Roman" w:cs="Times New Roman"/>
          <w:b/>
          <w:bCs/>
          <w:szCs w:val="24"/>
        </w:rPr>
        <w:t>metaphor</w:t>
      </w:r>
      <w:r w:rsidR="00566B6B" w:rsidRPr="00D77AB8">
        <w:rPr>
          <w:rFonts w:eastAsia="Times New Roman" w:cs="Times New Roman"/>
          <w:b/>
          <w:bCs/>
          <w:szCs w:val="24"/>
        </w:rPr>
        <w:t xml:space="preserve"> </w:t>
      </w:r>
      <w:r w:rsidR="009B2EA7" w:rsidRPr="00D77AB8">
        <w:rPr>
          <w:rFonts w:eastAsia="Times New Roman" w:cs="Times New Roman"/>
          <w:b/>
          <w:bCs/>
          <w:szCs w:val="24"/>
        </w:rPr>
        <w:t>in Australian Business Schools</w:t>
      </w:r>
      <w:r w:rsidR="00D64A3C">
        <w:rPr>
          <w:rFonts w:eastAsia="Times New Roman" w:cs="Times New Roman"/>
          <w:b/>
          <w:bCs/>
          <w:szCs w:val="24"/>
        </w:rPr>
        <w:t xml:space="preserve"> </w:t>
      </w:r>
    </w:p>
    <w:p w14:paraId="39B9E765" w14:textId="45BEEAA6" w:rsidR="00310715" w:rsidRPr="00D77AB8" w:rsidRDefault="00310715" w:rsidP="00310715">
      <w:pPr>
        <w:rPr>
          <w:rFonts w:eastAsia="Times New Roman" w:cs="Times New Roman"/>
          <w:b/>
          <w:bCs/>
          <w:szCs w:val="24"/>
        </w:rPr>
      </w:pPr>
      <w:r>
        <w:t>Maria Ishkova, The University of Sydney Business School, Australia</w:t>
      </w:r>
      <w:r>
        <w:br/>
        <w:t>Grainne Oates, Swinburne University of Technology, Australia</w:t>
      </w:r>
      <w:r>
        <w:br/>
        <w:t>Ju Li Ng, The University of Sydney Business School, Australia</w:t>
      </w:r>
      <w:r>
        <w:br/>
        <w:t>Vanessa Loh, The University of Sydney Business School, Australia</w:t>
      </w:r>
      <w:r>
        <w:br/>
        <w:t>Mark Westcott, The University of Sydney Business School, Australia</w:t>
      </w:r>
      <w:r>
        <w:br/>
        <w:t>Robyn Martin, The University of Sydney Business School, Australia</w:t>
      </w:r>
      <w:r>
        <w:br/>
        <w:t>Angela Hecimovic, The University of Sydney Business School, Australia</w:t>
      </w:r>
      <w:r>
        <w:br/>
        <w:t>Michael Fernando, The University of Sydney Business School, Australia</w:t>
      </w:r>
    </w:p>
    <w:p w14:paraId="036FEE49" w14:textId="77777777" w:rsidR="00360051" w:rsidRPr="00D77AB8" w:rsidRDefault="00360051" w:rsidP="00566B6B">
      <w:pPr>
        <w:rPr>
          <w:rFonts w:eastAsia="Times New Roman" w:cs="Times New Roman"/>
          <w:b/>
          <w:bCs/>
          <w:szCs w:val="24"/>
        </w:rPr>
      </w:pPr>
    </w:p>
    <w:p w14:paraId="239E0D45" w14:textId="748F06CA" w:rsidR="00F262A7" w:rsidRPr="00D77AB8" w:rsidRDefault="00C55BF3" w:rsidP="00566B6B">
      <w:pPr>
        <w:rPr>
          <w:rFonts w:eastAsia="Times New Roman" w:cs="Times New Roman"/>
          <w:b/>
          <w:bCs/>
          <w:szCs w:val="24"/>
        </w:rPr>
      </w:pPr>
      <w:r w:rsidRPr="00D77AB8">
        <w:rPr>
          <w:rFonts w:eastAsia="Times New Roman" w:cs="Times New Roman"/>
          <w:b/>
          <w:bCs/>
          <w:szCs w:val="24"/>
        </w:rPr>
        <w:t xml:space="preserve">Abstract </w:t>
      </w:r>
    </w:p>
    <w:p w14:paraId="4AD08D82" w14:textId="0F066ECF" w:rsidR="00FF0702" w:rsidRPr="00D77AB8" w:rsidRDefault="00F03B17" w:rsidP="00D77AB8">
      <w:pPr>
        <w:ind w:firstLine="720"/>
        <w:rPr>
          <w:rFonts w:eastAsia="Times New Roman" w:cs="Times New Roman"/>
          <w:szCs w:val="24"/>
        </w:rPr>
      </w:pPr>
      <w:r w:rsidRPr="00D77AB8">
        <w:rPr>
          <w:rFonts w:eastAsia="Times New Roman" w:cs="Times New Roman"/>
          <w:szCs w:val="24"/>
        </w:rPr>
        <w:t xml:space="preserve">In recent years, the academic discourse related to Higher Education </w:t>
      </w:r>
      <w:r w:rsidR="00DE2ACE">
        <w:rPr>
          <w:rFonts w:eastAsia="Times New Roman" w:cs="Times New Roman"/>
          <w:szCs w:val="24"/>
        </w:rPr>
        <w:t xml:space="preserve">has </w:t>
      </w:r>
      <w:r w:rsidRPr="00D77AB8">
        <w:rPr>
          <w:rFonts w:eastAsia="Times New Roman" w:cs="Times New Roman"/>
          <w:szCs w:val="24"/>
        </w:rPr>
        <w:t xml:space="preserve">become more and more </w:t>
      </w:r>
      <w:r w:rsidR="00C55BF3" w:rsidRPr="00D77AB8">
        <w:rPr>
          <w:rFonts w:eastAsia="Times New Roman" w:cs="Times New Roman"/>
          <w:szCs w:val="24"/>
        </w:rPr>
        <w:t xml:space="preserve">oriented </w:t>
      </w:r>
      <w:r w:rsidR="00557F49" w:rsidRPr="00D77AB8">
        <w:rPr>
          <w:rFonts w:eastAsia="Times New Roman" w:cs="Times New Roman"/>
          <w:szCs w:val="24"/>
        </w:rPr>
        <w:t xml:space="preserve">towards </w:t>
      </w:r>
      <w:r w:rsidRPr="00D77AB8">
        <w:rPr>
          <w:rFonts w:eastAsia="Times New Roman" w:cs="Times New Roman"/>
          <w:szCs w:val="24"/>
        </w:rPr>
        <w:t xml:space="preserve">the co-creation of teaching and </w:t>
      </w:r>
      <w:r w:rsidR="00263CF2" w:rsidRPr="00D77AB8">
        <w:rPr>
          <w:rFonts w:eastAsia="Times New Roman" w:cs="Times New Roman"/>
          <w:szCs w:val="24"/>
        </w:rPr>
        <w:t>l</w:t>
      </w:r>
      <w:r w:rsidRPr="00D77AB8">
        <w:rPr>
          <w:rFonts w:eastAsia="Times New Roman" w:cs="Times New Roman"/>
          <w:szCs w:val="24"/>
        </w:rPr>
        <w:t>earning experience</w:t>
      </w:r>
      <w:r w:rsidR="00197276" w:rsidRPr="00D77AB8">
        <w:rPr>
          <w:rFonts w:eastAsia="Times New Roman" w:cs="Times New Roman"/>
          <w:szCs w:val="24"/>
        </w:rPr>
        <w:t>s</w:t>
      </w:r>
      <w:r w:rsidRPr="00D77AB8">
        <w:rPr>
          <w:rFonts w:eastAsia="Times New Roman" w:cs="Times New Roman"/>
          <w:szCs w:val="24"/>
        </w:rPr>
        <w:t xml:space="preserve"> with students</w:t>
      </w:r>
      <w:r w:rsidR="00557F49" w:rsidRPr="00D77AB8">
        <w:rPr>
          <w:rFonts w:eastAsia="Times New Roman" w:cs="Times New Roman"/>
          <w:szCs w:val="24"/>
        </w:rPr>
        <w:t xml:space="preserve">. As a result, </w:t>
      </w:r>
      <w:r w:rsidRPr="00D77AB8">
        <w:rPr>
          <w:rFonts w:eastAsia="Times New Roman" w:cs="Times New Roman"/>
          <w:szCs w:val="24"/>
        </w:rPr>
        <w:t>the catchy metaphor ‘students-as-partners’</w:t>
      </w:r>
      <w:r w:rsidR="00B17C70" w:rsidRPr="00D77AB8">
        <w:rPr>
          <w:rFonts w:eastAsia="Times New Roman" w:cs="Times New Roman"/>
          <w:szCs w:val="24"/>
        </w:rPr>
        <w:t xml:space="preserve"> (</w:t>
      </w:r>
      <w:proofErr w:type="spellStart"/>
      <w:r w:rsidR="00B17C70" w:rsidRPr="00D77AB8">
        <w:rPr>
          <w:rFonts w:eastAsia="Times New Roman" w:cs="Times New Roman"/>
          <w:szCs w:val="24"/>
        </w:rPr>
        <w:t>SaP</w:t>
      </w:r>
      <w:proofErr w:type="spellEnd"/>
      <w:r w:rsidR="00B17C70" w:rsidRPr="00D77AB8">
        <w:rPr>
          <w:rFonts w:eastAsia="Times New Roman" w:cs="Times New Roman"/>
          <w:szCs w:val="24"/>
        </w:rPr>
        <w:t>)</w:t>
      </w:r>
      <w:r w:rsidR="006400B6" w:rsidRPr="00D77AB8">
        <w:rPr>
          <w:rFonts w:eastAsia="Times New Roman" w:cs="Times New Roman"/>
          <w:szCs w:val="24"/>
        </w:rPr>
        <w:t xml:space="preserve"> </w:t>
      </w:r>
      <w:r w:rsidR="006400B6" w:rsidRPr="00D77AB8">
        <w:rPr>
          <w:rFonts w:cs="Times New Roman"/>
          <w:szCs w:val="24"/>
        </w:rPr>
        <w:t>is rapidly gaining more influence on teaching practice in Australian universities,</w:t>
      </w:r>
      <w:r w:rsidR="006400B6" w:rsidRPr="00D77AB8" w:rsidDel="00557F49">
        <w:rPr>
          <w:rFonts w:eastAsia="Times New Roman" w:cs="Times New Roman"/>
          <w:szCs w:val="24"/>
        </w:rPr>
        <w:t xml:space="preserve"> </w:t>
      </w:r>
      <w:r w:rsidR="006400B6" w:rsidRPr="00D77AB8">
        <w:rPr>
          <w:rFonts w:eastAsia="Times New Roman" w:cs="Times New Roman"/>
          <w:szCs w:val="24"/>
        </w:rPr>
        <w:t xml:space="preserve">earning its place in </w:t>
      </w:r>
      <w:r w:rsidRPr="00D77AB8">
        <w:rPr>
          <w:rFonts w:eastAsia="Times New Roman" w:cs="Times New Roman"/>
          <w:szCs w:val="24"/>
        </w:rPr>
        <w:t>discussions, teaching philosophies</w:t>
      </w:r>
      <w:r w:rsidR="00263CF2" w:rsidRPr="00D77AB8">
        <w:rPr>
          <w:rFonts w:eastAsia="Times New Roman" w:cs="Times New Roman"/>
          <w:szCs w:val="24"/>
        </w:rPr>
        <w:t xml:space="preserve"> and institutional strategies. </w:t>
      </w:r>
      <w:proofErr w:type="spellStart"/>
      <w:r w:rsidR="00557F49" w:rsidRPr="00D77AB8">
        <w:rPr>
          <w:rFonts w:eastAsia="Times New Roman" w:cs="Times New Roman"/>
          <w:szCs w:val="24"/>
        </w:rPr>
        <w:t>SaP</w:t>
      </w:r>
      <w:proofErr w:type="spellEnd"/>
      <w:r w:rsidR="00557F49" w:rsidRPr="00D77AB8">
        <w:rPr>
          <w:rFonts w:eastAsia="Times New Roman" w:cs="Times New Roman"/>
          <w:szCs w:val="24"/>
        </w:rPr>
        <w:t xml:space="preserve"> has work</w:t>
      </w:r>
      <w:r w:rsidR="00712524" w:rsidRPr="00D77AB8">
        <w:rPr>
          <w:rFonts w:eastAsia="Times New Roman" w:cs="Times New Roman"/>
          <w:szCs w:val="24"/>
        </w:rPr>
        <w:t>ed</w:t>
      </w:r>
      <w:r w:rsidR="00557F49" w:rsidRPr="00D77AB8">
        <w:rPr>
          <w:rFonts w:eastAsia="Times New Roman" w:cs="Times New Roman"/>
          <w:szCs w:val="24"/>
        </w:rPr>
        <w:t xml:space="preserve"> well </w:t>
      </w:r>
      <w:r w:rsidR="00C55BF3" w:rsidRPr="00D77AB8">
        <w:rPr>
          <w:rFonts w:eastAsia="Times New Roman" w:cs="Times New Roman"/>
          <w:szCs w:val="24"/>
        </w:rPr>
        <w:t xml:space="preserve">for some, </w:t>
      </w:r>
      <w:r w:rsidR="00557F49" w:rsidRPr="00D77AB8">
        <w:rPr>
          <w:rFonts w:eastAsia="Times New Roman" w:cs="Times New Roman"/>
          <w:szCs w:val="24"/>
        </w:rPr>
        <w:t xml:space="preserve">but </w:t>
      </w:r>
      <w:r w:rsidR="00DE2ACE">
        <w:rPr>
          <w:rFonts w:eastAsia="Times New Roman" w:cs="Times New Roman"/>
          <w:szCs w:val="24"/>
        </w:rPr>
        <w:t>it</w:t>
      </w:r>
      <w:r w:rsidR="00DE2ACE" w:rsidRPr="00D77AB8">
        <w:rPr>
          <w:rFonts w:eastAsia="Times New Roman" w:cs="Times New Roman"/>
          <w:szCs w:val="24"/>
        </w:rPr>
        <w:t xml:space="preserve"> </w:t>
      </w:r>
      <w:r w:rsidR="00557F49" w:rsidRPr="00D77AB8">
        <w:rPr>
          <w:rFonts w:eastAsia="Times New Roman" w:cs="Times New Roman"/>
          <w:szCs w:val="24"/>
        </w:rPr>
        <w:t>should not be applied blindly</w:t>
      </w:r>
      <w:r w:rsidR="00DE2ACE">
        <w:rPr>
          <w:rFonts w:eastAsia="Times New Roman" w:cs="Times New Roman"/>
          <w:szCs w:val="24"/>
        </w:rPr>
        <w:t>,</w:t>
      </w:r>
      <w:r w:rsidR="00557F49" w:rsidRPr="00D77AB8">
        <w:rPr>
          <w:rFonts w:eastAsia="Times New Roman" w:cs="Times New Roman"/>
          <w:szCs w:val="24"/>
        </w:rPr>
        <w:t xml:space="preserve"> and it should be considered carefully in each context. </w:t>
      </w:r>
      <w:r w:rsidR="00763250" w:rsidRPr="00D77AB8">
        <w:rPr>
          <w:rFonts w:eastAsia="Times New Roman" w:cs="Times New Roman"/>
          <w:szCs w:val="24"/>
        </w:rPr>
        <w:t>During t</w:t>
      </w:r>
      <w:r w:rsidR="00263CF2" w:rsidRPr="00D77AB8">
        <w:rPr>
          <w:rFonts w:eastAsia="Times New Roman" w:cs="Times New Roman"/>
          <w:szCs w:val="24"/>
        </w:rPr>
        <w:t>his session</w:t>
      </w:r>
      <w:r w:rsidR="00763250" w:rsidRPr="00D77AB8">
        <w:rPr>
          <w:rFonts w:eastAsia="Times New Roman" w:cs="Times New Roman"/>
          <w:szCs w:val="24"/>
        </w:rPr>
        <w:t>, educators will</w:t>
      </w:r>
      <w:r w:rsidR="00263CF2" w:rsidRPr="00D77AB8">
        <w:rPr>
          <w:rFonts w:eastAsia="Times New Roman" w:cs="Times New Roman"/>
          <w:szCs w:val="24"/>
        </w:rPr>
        <w:t xml:space="preserve"> </w:t>
      </w:r>
      <w:r w:rsidR="00557F49" w:rsidRPr="00D77AB8">
        <w:rPr>
          <w:rFonts w:eastAsia="Times New Roman" w:cs="Times New Roman"/>
          <w:szCs w:val="24"/>
        </w:rPr>
        <w:t xml:space="preserve">showcase </w:t>
      </w:r>
      <w:r w:rsidR="00DE2ACE">
        <w:rPr>
          <w:rFonts w:eastAsia="Times New Roman" w:cs="Times New Roman"/>
          <w:szCs w:val="24"/>
        </w:rPr>
        <w:t>different</w:t>
      </w:r>
      <w:r w:rsidR="00557F49" w:rsidRPr="00D77AB8">
        <w:rPr>
          <w:rFonts w:eastAsia="Times New Roman" w:cs="Times New Roman"/>
          <w:szCs w:val="24"/>
        </w:rPr>
        <w:t xml:space="preserve"> application</w:t>
      </w:r>
      <w:r w:rsidR="00DE2ACE">
        <w:rPr>
          <w:rFonts w:eastAsia="Times New Roman" w:cs="Times New Roman"/>
          <w:szCs w:val="24"/>
        </w:rPr>
        <w:t>s</w:t>
      </w:r>
      <w:r w:rsidR="00557F49" w:rsidRPr="00D77AB8">
        <w:rPr>
          <w:rFonts w:eastAsia="Times New Roman" w:cs="Times New Roman"/>
          <w:szCs w:val="24"/>
        </w:rPr>
        <w:t xml:space="preserve"> of </w:t>
      </w:r>
      <w:proofErr w:type="spellStart"/>
      <w:r w:rsidR="00557F49" w:rsidRPr="00D77AB8">
        <w:rPr>
          <w:rFonts w:eastAsia="Times New Roman" w:cs="Times New Roman"/>
          <w:szCs w:val="24"/>
        </w:rPr>
        <w:t>SaP</w:t>
      </w:r>
      <w:proofErr w:type="spellEnd"/>
      <w:r w:rsidR="00763250" w:rsidRPr="00D77AB8">
        <w:rPr>
          <w:rFonts w:eastAsia="Times New Roman" w:cs="Times New Roman"/>
          <w:szCs w:val="24"/>
        </w:rPr>
        <w:t xml:space="preserve">, </w:t>
      </w:r>
      <w:r w:rsidR="00197276" w:rsidRPr="00D77AB8">
        <w:rPr>
          <w:rFonts w:eastAsia="Times New Roman" w:cs="Times New Roman"/>
          <w:szCs w:val="24"/>
        </w:rPr>
        <w:t xml:space="preserve">and </w:t>
      </w:r>
      <w:r w:rsidR="00763250" w:rsidRPr="00D77AB8">
        <w:rPr>
          <w:rFonts w:eastAsia="Times New Roman" w:cs="Times New Roman"/>
          <w:szCs w:val="24"/>
        </w:rPr>
        <w:t>e</w:t>
      </w:r>
      <w:r w:rsidR="00557F49" w:rsidRPr="00D77AB8">
        <w:rPr>
          <w:rFonts w:eastAsia="Times New Roman" w:cs="Times New Roman"/>
          <w:szCs w:val="24"/>
        </w:rPr>
        <w:t xml:space="preserve">xplore </w:t>
      </w:r>
      <w:r w:rsidR="00DE2ACE">
        <w:rPr>
          <w:rFonts w:eastAsia="Times New Roman" w:cs="Times New Roman"/>
          <w:szCs w:val="24"/>
        </w:rPr>
        <w:t>whether and when</w:t>
      </w:r>
      <w:r w:rsidR="00557F49" w:rsidRPr="00D77AB8">
        <w:rPr>
          <w:rFonts w:eastAsia="Times New Roman" w:cs="Times New Roman"/>
          <w:szCs w:val="24"/>
        </w:rPr>
        <w:t xml:space="preserve"> </w:t>
      </w:r>
      <w:proofErr w:type="spellStart"/>
      <w:r w:rsidR="00557F49" w:rsidRPr="00D77AB8">
        <w:rPr>
          <w:rFonts w:eastAsia="Times New Roman" w:cs="Times New Roman"/>
          <w:szCs w:val="24"/>
        </w:rPr>
        <w:t>SaP</w:t>
      </w:r>
      <w:proofErr w:type="spellEnd"/>
      <w:r w:rsidR="00557F49" w:rsidRPr="00D77AB8">
        <w:rPr>
          <w:rFonts w:eastAsia="Times New Roman" w:cs="Times New Roman"/>
          <w:szCs w:val="24"/>
        </w:rPr>
        <w:t xml:space="preserve"> is beneficial to the different </w:t>
      </w:r>
      <w:r w:rsidR="00B17C70" w:rsidRPr="00D77AB8">
        <w:rPr>
          <w:rFonts w:eastAsia="Times New Roman" w:cs="Times New Roman"/>
          <w:szCs w:val="24"/>
        </w:rPr>
        <w:t>stakeholders</w:t>
      </w:r>
      <w:r w:rsidR="00350810">
        <w:rPr>
          <w:rFonts w:eastAsia="Times New Roman" w:cs="Times New Roman"/>
          <w:szCs w:val="24"/>
        </w:rPr>
        <w:t xml:space="preserve"> and contexts</w:t>
      </w:r>
      <w:r w:rsidR="0015542B">
        <w:rPr>
          <w:rFonts w:eastAsia="Times New Roman" w:cs="Times New Roman"/>
          <w:szCs w:val="24"/>
        </w:rPr>
        <w:t xml:space="preserve">. </w:t>
      </w:r>
      <w:r w:rsidR="00763250" w:rsidRPr="00D77AB8">
        <w:rPr>
          <w:rFonts w:eastAsia="Times New Roman" w:cs="Times New Roman"/>
          <w:szCs w:val="24"/>
        </w:rPr>
        <w:t>S</w:t>
      </w:r>
      <w:r w:rsidR="00557F49" w:rsidRPr="00D77AB8">
        <w:rPr>
          <w:rFonts w:eastAsia="Times New Roman" w:cs="Times New Roman"/>
          <w:szCs w:val="24"/>
        </w:rPr>
        <w:t>tudents</w:t>
      </w:r>
      <w:r w:rsidR="00763250" w:rsidRPr="00D77AB8">
        <w:rPr>
          <w:rFonts w:eastAsia="Times New Roman" w:cs="Times New Roman"/>
          <w:szCs w:val="24"/>
        </w:rPr>
        <w:t xml:space="preserve"> will present their </w:t>
      </w:r>
      <w:r w:rsidR="00557F49" w:rsidRPr="00D77AB8">
        <w:rPr>
          <w:rFonts w:eastAsia="Times New Roman" w:cs="Times New Roman"/>
          <w:szCs w:val="24"/>
        </w:rPr>
        <w:t xml:space="preserve">perspective on how </w:t>
      </w:r>
      <w:proofErr w:type="spellStart"/>
      <w:r w:rsidR="004B7AFD" w:rsidRPr="00D77AB8">
        <w:rPr>
          <w:rFonts w:eastAsia="Times New Roman" w:cs="Times New Roman"/>
          <w:szCs w:val="24"/>
        </w:rPr>
        <w:t>SaP</w:t>
      </w:r>
      <w:proofErr w:type="spellEnd"/>
      <w:r w:rsidR="004B7AFD" w:rsidRPr="00D77AB8">
        <w:rPr>
          <w:rFonts w:eastAsia="Times New Roman" w:cs="Times New Roman"/>
          <w:szCs w:val="24"/>
        </w:rPr>
        <w:t xml:space="preserve"> influence</w:t>
      </w:r>
      <w:r w:rsidR="00DE2ACE">
        <w:rPr>
          <w:rFonts w:eastAsia="Times New Roman" w:cs="Times New Roman"/>
          <w:szCs w:val="24"/>
        </w:rPr>
        <w:t>d</w:t>
      </w:r>
      <w:r w:rsidR="004B7AFD" w:rsidRPr="00D77AB8">
        <w:rPr>
          <w:rFonts w:eastAsia="Times New Roman" w:cs="Times New Roman"/>
          <w:szCs w:val="24"/>
        </w:rPr>
        <w:t xml:space="preserve"> </w:t>
      </w:r>
      <w:r w:rsidR="00C96BA7" w:rsidRPr="00D77AB8">
        <w:rPr>
          <w:rFonts w:eastAsia="Times New Roman" w:cs="Times New Roman"/>
          <w:szCs w:val="24"/>
        </w:rPr>
        <w:t>their attitudes, learning outcomes and graduate qualities.</w:t>
      </w:r>
      <w:r w:rsidR="00110263" w:rsidRPr="00D77AB8">
        <w:rPr>
          <w:rFonts w:eastAsia="Times New Roman" w:cs="Times New Roman"/>
          <w:szCs w:val="24"/>
        </w:rPr>
        <w:t xml:space="preserve"> Finally, the round table session will draw upon the discussion to outline tips and advice on how to successfully implement </w:t>
      </w:r>
      <w:proofErr w:type="spellStart"/>
      <w:r w:rsidR="00110263" w:rsidRPr="00D77AB8">
        <w:rPr>
          <w:rFonts w:eastAsia="Times New Roman" w:cs="Times New Roman"/>
          <w:szCs w:val="24"/>
        </w:rPr>
        <w:t>SaP</w:t>
      </w:r>
      <w:proofErr w:type="spellEnd"/>
      <w:r w:rsidR="00110263" w:rsidRPr="00D77AB8">
        <w:rPr>
          <w:rFonts w:eastAsia="Times New Roman" w:cs="Times New Roman"/>
          <w:szCs w:val="24"/>
        </w:rPr>
        <w:t>.</w:t>
      </w:r>
    </w:p>
    <w:p w14:paraId="227905F0" w14:textId="77777777" w:rsidR="00360051" w:rsidRPr="00D77AB8" w:rsidRDefault="00360051" w:rsidP="0068004A">
      <w:pPr>
        <w:rPr>
          <w:rFonts w:cs="Times New Roman"/>
          <w:szCs w:val="24"/>
        </w:rPr>
      </w:pPr>
    </w:p>
    <w:p w14:paraId="18B04947" w14:textId="46EB1CF8" w:rsidR="00B66864" w:rsidRPr="00D77AB8" w:rsidRDefault="00B66864" w:rsidP="00D77AB8">
      <w:pPr>
        <w:ind w:firstLine="720"/>
        <w:rPr>
          <w:rFonts w:cs="Times New Roman"/>
          <w:szCs w:val="24"/>
        </w:rPr>
      </w:pPr>
      <w:r w:rsidRPr="00D77AB8">
        <w:rPr>
          <w:rFonts w:cs="Times New Roman"/>
          <w:szCs w:val="24"/>
        </w:rPr>
        <w:lastRenderedPageBreak/>
        <w:t>Metaphors are a powerful way to support the practice of theorising, intervention in decision-making</w:t>
      </w:r>
      <w:r w:rsidR="00CE2F22">
        <w:rPr>
          <w:rFonts w:cs="Times New Roman"/>
          <w:szCs w:val="24"/>
        </w:rPr>
        <w:t>,</w:t>
      </w:r>
      <w:r w:rsidRPr="00D77AB8">
        <w:rPr>
          <w:rFonts w:cs="Times New Roman"/>
          <w:szCs w:val="24"/>
        </w:rPr>
        <w:t xml:space="preserve"> and individuals’ sensemaking (</w:t>
      </w:r>
      <w:r w:rsidR="00B07C9E" w:rsidRPr="00D77AB8">
        <w:rPr>
          <w:rFonts w:cs="Times New Roman"/>
          <w:szCs w:val="24"/>
        </w:rPr>
        <w:t>Cornelissen et al</w:t>
      </w:r>
      <w:r w:rsidR="00CE2F22">
        <w:rPr>
          <w:rFonts w:cs="Times New Roman"/>
          <w:szCs w:val="24"/>
        </w:rPr>
        <w:t>.</w:t>
      </w:r>
      <w:r w:rsidR="00B07C9E" w:rsidRPr="00D77AB8">
        <w:rPr>
          <w:rFonts w:cs="Times New Roman"/>
          <w:szCs w:val="24"/>
        </w:rPr>
        <w:t xml:space="preserve">, 2008). </w:t>
      </w:r>
      <w:r w:rsidR="00351AC9" w:rsidRPr="00D77AB8">
        <w:rPr>
          <w:rFonts w:cs="Times New Roman"/>
          <w:szCs w:val="24"/>
        </w:rPr>
        <w:t xml:space="preserve">In this </w:t>
      </w:r>
      <w:r w:rsidR="00071EE8" w:rsidRPr="00D77AB8">
        <w:rPr>
          <w:rFonts w:cs="Times New Roman"/>
          <w:szCs w:val="24"/>
        </w:rPr>
        <w:t>session</w:t>
      </w:r>
      <w:r w:rsidR="00351AC9" w:rsidRPr="00D77AB8">
        <w:rPr>
          <w:rFonts w:cs="Times New Roman"/>
          <w:szCs w:val="24"/>
        </w:rPr>
        <w:t xml:space="preserve">, we </w:t>
      </w:r>
      <w:r w:rsidR="00F822BB">
        <w:rPr>
          <w:rFonts w:cs="Times New Roman"/>
          <w:szCs w:val="24"/>
        </w:rPr>
        <w:t>will</w:t>
      </w:r>
      <w:r w:rsidR="00071EE8" w:rsidRPr="00D77AB8">
        <w:rPr>
          <w:rFonts w:cs="Times New Roman"/>
          <w:szCs w:val="24"/>
        </w:rPr>
        <w:t xml:space="preserve"> </w:t>
      </w:r>
      <w:r w:rsidR="008A6555" w:rsidRPr="00D77AB8">
        <w:rPr>
          <w:rFonts w:cs="Times New Roman"/>
          <w:szCs w:val="24"/>
        </w:rPr>
        <w:t>debate</w:t>
      </w:r>
      <w:r w:rsidR="00071EE8" w:rsidRPr="00D77AB8">
        <w:rPr>
          <w:rFonts w:cs="Times New Roman"/>
          <w:szCs w:val="24"/>
        </w:rPr>
        <w:t xml:space="preserve"> the influence </w:t>
      </w:r>
      <w:r w:rsidR="00197276" w:rsidRPr="00D77AB8">
        <w:rPr>
          <w:rFonts w:cs="Times New Roman"/>
          <w:szCs w:val="24"/>
        </w:rPr>
        <w:t xml:space="preserve">of </w:t>
      </w:r>
      <w:r w:rsidR="00071EE8" w:rsidRPr="00D77AB8">
        <w:rPr>
          <w:rFonts w:cs="Times New Roman"/>
          <w:szCs w:val="24"/>
        </w:rPr>
        <w:t>the ‘students-as-partners’ (</w:t>
      </w:r>
      <w:proofErr w:type="spellStart"/>
      <w:r w:rsidR="00071EE8" w:rsidRPr="00D77AB8">
        <w:rPr>
          <w:rFonts w:cs="Times New Roman"/>
          <w:szCs w:val="24"/>
        </w:rPr>
        <w:t>SaP</w:t>
      </w:r>
      <w:proofErr w:type="spellEnd"/>
      <w:r w:rsidR="00071EE8" w:rsidRPr="00D77AB8">
        <w:rPr>
          <w:rFonts w:cs="Times New Roman"/>
          <w:szCs w:val="24"/>
        </w:rPr>
        <w:t>) metaphor that is rapidly becoming a catch-all phrase in academic discourse (</w:t>
      </w:r>
      <w:proofErr w:type="spellStart"/>
      <w:r w:rsidR="00071EE8" w:rsidRPr="00D77AB8">
        <w:rPr>
          <w:rFonts w:cs="Times New Roman"/>
          <w:szCs w:val="24"/>
        </w:rPr>
        <w:t>Godbold</w:t>
      </w:r>
      <w:proofErr w:type="spellEnd"/>
      <w:r w:rsidR="00071EE8" w:rsidRPr="00D77AB8">
        <w:rPr>
          <w:rFonts w:cs="Times New Roman"/>
          <w:szCs w:val="24"/>
        </w:rPr>
        <w:t xml:space="preserve"> et al</w:t>
      </w:r>
      <w:r w:rsidR="00CE2F22">
        <w:rPr>
          <w:rFonts w:cs="Times New Roman"/>
          <w:szCs w:val="24"/>
        </w:rPr>
        <w:t>.</w:t>
      </w:r>
      <w:r w:rsidR="00071EE8" w:rsidRPr="00D77AB8">
        <w:rPr>
          <w:rFonts w:cs="Times New Roman"/>
          <w:szCs w:val="24"/>
        </w:rPr>
        <w:t>, 2022)</w:t>
      </w:r>
      <w:r w:rsidR="00230B24" w:rsidRPr="00D77AB8">
        <w:rPr>
          <w:rFonts w:cs="Times New Roman"/>
          <w:szCs w:val="24"/>
        </w:rPr>
        <w:t xml:space="preserve"> </w:t>
      </w:r>
      <w:r w:rsidR="00197276" w:rsidRPr="00D77AB8">
        <w:rPr>
          <w:rFonts w:cs="Times New Roman"/>
          <w:szCs w:val="24"/>
        </w:rPr>
        <w:t xml:space="preserve">and </w:t>
      </w:r>
      <w:r w:rsidR="00230B24" w:rsidRPr="00D77AB8">
        <w:rPr>
          <w:rFonts w:cs="Times New Roman"/>
          <w:szCs w:val="24"/>
        </w:rPr>
        <w:t xml:space="preserve">has </w:t>
      </w:r>
      <w:r w:rsidR="00077BBF">
        <w:rPr>
          <w:rFonts w:cs="Times New Roman"/>
          <w:szCs w:val="24"/>
        </w:rPr>
        <w:t xml:space="preserve">had </w:t>
      </w:r>
      <w:r w:rsidR="00197276" w:rsidRPr="00D77AB8">
        <w:rPr>
          <w:rFonts w:cs="Times New Roman"/>
          <w:szCs w:val="24"/>
        </w:rPr>
        <w:t xml:space="preserve">a </w:t>
      </w:r>
      <w:r w:rsidR="00230B24" w:rsidRPr="00D77AB8">
        <w:rPr>
          <w:rFonts w:cs="Times New Roman"/>
          <w:szCs w:val="24"/>
        </w:rPr>
        <w:t xml:space="preserve">significant influence on our </w:t>
      </w:r>
      <w:r w:rsidR="00071EE8" w:rsidRPr="00D77AB8">
        <w:rPr>
          <w:rFonts w:cs="Times New Roman"/>
          <w:szCs w:val="24"/>
        </w:rPr>
        <w:t>teaching practice in</w:t>
      </w:r>
      <w:r w:rsidR="00351AC9" w:rsidRPr="00D77AB8">
        <w:rPr>
          <w:rFonts w:cs="Times New Roman"/>
          <w:szCs w:val="24"/>
        </w:rPr>
        <w:t xml:space="preserve"> Australian universities</w:t>
      </w:r>
      <w:r w:rsidR="00230B24" w:rsidRPr="00D77AB8">
        <w:rPr>
          <w:rFonts w:cs="Times New Roman"/>
          <w:szCs w:val="24"/>
        </w:rPr>
        <w:t xml:space="preserve">. We will also discuss </w:t>
      </w:r>
      <w:r w:rsidR="00071EE8" w:rsidRPr="00D77AB8">
        <w:rPr>
          <w:rFonts w:cs="Times New Roman"/>
          <w:szCs w:val="24"/>
        </w:rPr>
        <w:t xml:space="preserve">how </w:t>
      </w:r>
      <w:proofErr w:type="spellStart"/>
      <w:r w:rsidR="00230B24" w:rsidRPr="00D77AB8">
        <w:rPr>
          <w:rFonts w:cs="Times New Roman"/>
          <w:szCs w:val="24"/>
        </w:rPr>
        <w:t>SaP</w:t>
      </w:r>
      <w:proofErr w:type="spellEnd"/>
      <w:r w:rsidR="00230B24" w:rsidRPr="00D77AB8">
        <w:rPr>
          <w:rFonts w:cs="Times New Roman"/>
          <w:szCs w:val="24"/>
        </w:rPr>
        <w:t xml:space="preserve"> </w:t>
      </w:r>
      <w:r w:rsidR="00071EE8" w:rsidRPr="00D77AB8">
        <w:rPr>
          <w:rFonts w:cs="Times New Roman"/>
          <w:szCs w:val="24"/>
        </w:rPr>
        <w:t>can be compared/contrasted to other common metaphors for teaching and learning relationships between students and educators</w:t>
      </w:r>
      <w:r w:rsidR="008616FB" w:rsidRPr="00D77AB8">
        <w:rPr>
          <w:rFonts w:cs="Times New Roman"/>
          <w:szCs w:val="24"/>
        </w:rPr>
        <w:t>, such as ‘students-as-customers’, ‘students-as-clients’ and ‘students-as-employees’</w:t>
      </w:r>
      <w:r w:rsidR="00071EE8" w:rsidRPr="00D77AB8">
        <w:rPr>
          <w:rFonts w:cs="Times New Roman"/>
          <w:szCs w:val="24"/>
        </w:rPr>
        <w:t>.</w:t>
      </w:r>
      <w:r w:rsidR="008A6555" w:rsidRPr="00D77AB8">
        <w:rPr>
          <w:rFonts w:cs="Times New Roman"/>
          <w:szCs w:val="24"/>
        </w:rPr>
        <w:t xml:space="preserve"> </w:t>
      </w:r>
      <w:r w:rsidR="00917783" w:rsidRPr="00D77AB8">
        <w:rPr>
          <w:rFonts w:cs="Times New Roman"/>
          <w:szCs w:val="24"/>
        </w:rPr>
        <w:t xml:space="preserve">This session </w:t>
      </w:r>
      <w:r w:rsidR="00664079" w:rsidRPr="00D77AB8">
        <w:rPr>
          <w:rFonts w:cs="Times New Roman"/>
          <w:szCs w:val="24"/>
        </w:rPr>
        <w:t>will bring together academics and students as co-presenters to</w:t>
      </w:r>
      <w:r w:rsidR="00917783" w:rsidRPr="00D77AB8">
        <w:rPr>
          <w:rFonts w:cs="Times New Roman"/>
          <w:szCs w:val="24"/>
        </w:rPr>
        <w:t xml:space="preserve"> contribute to the understanding of the </w:t>
      </w:r>
      <w:proofErr w:type="spellStart"/>
      <w:r w:rsidR="00917783" w:rsidRPr="00D77AB8">
        <w:rPr>
          <w:rFonts w:cs="Times New Roman"/>
          <w:szCs w:val="24"/>
        </w:rPr>
        <w:t>SaP</w:t>
      </w:r>
      <w:proofErr w:type="spellEnd"/>
      <w:r w:rsidR="00917783" w:rsidRPr="00D77AB8">
        <w:rPr>
          <w:rFonts w:cs="Times New Roman"/>
          <w:szCs w:val="24"/>
        </w:rPr>
        <w:t xml:space="preserve"> approach</w:t>
      </w:r>
      <w:r w:rsidR="004C7147" w:rsidRPr="00D77AB8">
        <w:rPr>
          <w:rFonts w:cs="Times New Roman"/>
          <w:szCs w:val="24"/>
        </w:rPr>
        <w:t>, its ups, downs and limitations, when</w:t>
      </w:r>
      <w:r w:rsidR="00230B24" w:rsidRPr="00D77AB8">
        <w:rPr>
          <w:rFonts w:cs="Times New Roman"/>
          <w:szCs w:val="24"/>
        </w:rPr>
        <w:t xml:space="preserve"> and </w:t>
      </w:r>
      <w:r w:rsidR="004C7147" w:rsidRPr="00D77AB8">
        <w:rPr>
          <w:rFonts w:cs="Times New Roman"/>
          <w:szCs w:val="24"/>
        </w:rPr>
        <w:t xml:space="preserve">if it should be used </w:t>
      </w:r>
      <w:r w:rsidR="00664079" w:rsidRPr="00D77AB8">
        <w:rPr>
          <w:rFonts w:cs="Times New Roman"/>
          <w:szCs w:val="24"/>
        </w:rPr>
        <w:t>and what is instrumental to its success.</w:t>
      </w:r>
    </w:p>
    <w:p w14:paraId="23DA873E" w14:textId="21B1C5B3" w:rsidR="00917783" w:rsidRPr="00D77AB8" w:rsidRDefault="00663F6E" w:rsidP="00D77AB8">
      <w:pPr>
        <w:ind w:firstLine="720"/>
        <w:rPr>
          <w:rFonts w:cs="Times New Roman"/>
          <w:szCs w:val="24"/>
        </w:rPr>
      </w:pPr>
      <w:r>
        <w:rPr>
          <w:rFonts w:cs="Times New Roman"/>
          <w:szCs w:val="24"/>
        </w:rPr>
        <w:t>According to Coo</w:t>
      </w:r>
      <w:r w:rsidR="00A828F3">
        <w:rPr>
          <w:rFonts w:cs="Times New Roman"/>
          <w:szCs w:val="24"/>
        </w:rPr>
        <w:t xml:space="preserve">k-Sather and colleagues (2014), the </w:t>
      </w:r>
      <w:proofErr w:type="spellStart"/>
      <w:r w:rsidR="00A828F3">
        <w:rPr>
          <w:rFonts w:cs="Times New Roman"/>
          <w:szCs w:val="24"/>
        </w:rPr>
        <w:t>SaP</w:t>
      </w:r>
      <w:proofErr w:type="spellEnd"/>
      <w:r w:rsidR="00A828F3">
        <w:rPr>
          <w:rFonts w:cs="Times New Roman"/>
          <w:szCs w:val="24"/>
        </w:rPr>
        <w:t xml:space="preserve"> metaphor</w:t>
      </w:r>
      <w:r>
        <w:rPr>
          <w:rFonts w:cs="Times New Roman"/>
          <w:szCs w:val="24"/>
        </w:rPr>
        <w:t xml:space="preserve"> </w:t>
      </w:r>
      <w:r w:rsidR="00A73BCE">
        <w:rPr>
          <w:rFonts w:cs="Times New Roman"/>
          <w:szCs w:val="24"/>
        </w:rPr>
        <w:t>highlights</w:t>
      </w:r>
      <w:r w:rsidR="00F21EB1" w:rsidRPr="00D77AB8">
        <w:rPr>
          <w:rFonts w:cs="Times New Roman"/>
          <w:szCs w:val="24"/>
        </w:rPr>
        <w:t xml:space="preserve"> ‘a collaborative, reciprocal process through which all participants have the opportunity to contribute equally, although not necessarily in the same ways, to curricular or pedagogical conceptualization, decision-making, implementation, investigation, or analysis’</w:t>
      </w:r>
      <w:r w:rsidR="00E32BEF" w:rsidRPr="00D77AB8">
        <w:rPr>
          <w:rFonts w:cs="Times New Roman"/>
          <w:szCs w:val="24"/>
        </w:rPr>
        <w:t xml:space="preserve"> (Cook-Sather et al., 2014, pp. 6–7).</w:t>
      </w:r>
      <w:r w:rsidR="00656ACB" w:rsidRPr="00D77AB8">
        <w:rPr>
          <w:rFonts w:cs="Times New Roman"/>
          <w:szCs w:val="24"/>
        </w:rPr>
        <w:t xml:space="preserve"> </w:t>
      </w:r>
      <w:r w:rsidR="00EA5867" w:rsidRPr="00D77AB8">
        <w:rPr>
          <w:rFonts w:cs="Times New Roman"/>
          <w:szCs w:val="24"/>
        </w:rPr>
        <w:t xml:space="preserve">Cook-Sather and </w:t>
      </w:r>
      <w:r w:rsidR="005C22E1" w:rsidRPr="00D77AB8">
        <w:rPr>
          <w:rFonts w:cs="Times New Roman"/>
          <w:szCs w:val="24"/>
        </w:rPr>
        <w:t>Matthews</w:t>
      </w:r>
      <w:r w:rsidR="00A828F3">
        <w:rPr>
          <w:rFonts w:cs="Times New Roman"/>
          <w:szCs w:val="24"/>
        </w:rPr>
        <w:t xml:space="preserve"> </w:t>
      </w:r>
      <w:r w:rsidR="00A828F3" w:rsidRPr="005D5547">
        <w:rPr>
          <w:rFonts w:cs="Times New Roman"/>
          <w:szCs w:val="24"/>
        </w:rPr>
        <w:t>(2021)</w:t>
      </w:r>
      <w:r w:rsidR="00EA5867" w:rsidRPr="005D5547">
        <w:rPr>
          <w:rFonts w:cs="Times New Roman"/>
          <w:szCs w:val="24"/>
        </w:rPr>
        <w:t xml:space="preserve"> highlighted</w:t>
      </w:r>
      <w:r w:rsidR="00EA5867" w:rsidRPr="00D77AB8">
        <w:rPr>
          <w:rFonts w:cs="Times New Roman"/>
          <w:szCs w:val="24"/>
        </w:rPr>
        <w:t xml:space="preserve"> three ways </w:t>
      </w:r>
      <w:r w:rsidR="00CF5E1C">
        <w:rPr>
          <w:rFonts w:cs="Times New Roman"/>
          <w:szCs w:val="24"/>
        </w:rPr>
        <w:t>in which</w:t>
      </w:r>
      <w:r w:rsidR="00CF5E1C" w:rsidRPr="00D77AB8">
        <w:rPr>
          <w:rFonts w:cs="Times New Roman"/>
          <w:szCs w:val="24"/>
        </w:rPr>
        <w:t xml:space="preserve"> </w:t>
      </w:r>
      <w:r w:rsidR="00EA5867" w:rsidRPr="00D77AB8">
        <w:rPr>
          <w:rFonts w:cs="Times New Roman"/>
          <w:szCs w:val="24"/>
        </w:rPr>
        <w:t xml:space="preserve">educators </w:t>
      </w:r>
      <w:r w:rsidR="00124C6F" w:rsidRPr="00D77AB8">
        <w:rPr>
          <w:rFonts w:cs="Times New Roman"/>
          <w:szCs w:val="24"/>
        </w:rPr>
        <w:t xml:space="preserve">can </w:t>
      </w:r>
      <w:r w:rsidR="00EA5867" w:rsidRPr="00D77AB8">
        <w:rPr>
          <w:rFonts w:cs="Times New Roman"/>
          <w:szCs w:val="24"/>
        </w:rPr>
        <w:t xml:space="preserve">engage students as partners: to co-create the curriculum, </w:t>
      </w:r>
      <w:r w:rsidR="00124C6F" w:rsidRPr="00D77AB8">
        <w:rPr>
          <w:rFonts w:cs="Times New Roman"/>
          <w:szCs w:val="24"/>
        </w:rPr>
        <w:t xml:space="preserve">to influence </w:t>
      </w:r>
      <w:r w:rsidR="00EA5867" w:rsidRPr="00D77AB8">
        <w:rPr>
          <w:rFonts w:cs="Times New Roman"/>
          <w:szCs w:val="24"/>
        </w:rPr>
        <w:t xml:space="preserve">assessment approaches, and </w:t>
      </w:r>
      <w:r w:rsidR="00124C6F" w:rsidRPr="00D77AB8">
        <w:rPr>
          <w:rFonts w:cs="Times New Roman"/>
          <w:szCs w:val="24"/>
        </w:rPr>
        <w:t>to co</w:t>
      </w:r>
      <w:r w:rsidR="006E319A" w:rsidRPr="00D77AB8">
        <w:rPr>
          <w:rFonts w:cs="Times New Roman"/>
          <w:szCs w:val="24"/>
        </w:rPr>
        <w:t>-</w:t>
      </w:r>
      <w:r w:rsidR="00124C6F" w:rsidRPr="00D77AB8">
        <w:rPr>
          <w:rFonts w:cs="Times New Roman"/>
          <w:szCs w:val="24"/>
        </w:rPr>
        <w:t xml:space="preserve">create </w:t>
      </w:r>
      <w:r w:rsidR="00EA5867" w:rsidRPr="00D77AB8">
        <w:rPr>
          <w:rFonts w:cs="Times New Roman"/>
          <w:szCs w:val="24"/>
        </w:rPr>
        <w:t>knowledge through research</w:t>
      </w:r>
      <w:r w:rsidR="00124C6F" w:rsidRPr="00D77AB8">
        <w:rPr>
          <w:rFonts w:cs="Times New Roman"/>
          <w:szCs w:val="24"/>
        </w:rPr>
        <w:t>.</w:t>
      </w:r>
      <w:r w:rsidR="00A73BCE">
        <w:rPr>
          <w:rFonts w:cs="Times New Roman"/>
          <w:szCs w:val="24"/>
        </w:rPr>
        <w:t xml:space="preserve"> </w:t>
      </w:r>
      <w:r w:rsidR="00124C6F" w:rsidRPr="00D77AB8">
        <w:rPr>
          <w:rFonts w:cs="Times New Roman"/>
          <w:szCs w:val="24"/>
        </w:rPr>
        <w:t xml:space="preserve">Though this is useful, </w:t>
      </w:r>
      <w:r w:rsidR="00D22086" w:rsidRPr="00D77AB8">
        <w:rPr>
          <w:rFonts w:cs="Times New Roman"/>
          <w:szCs w:val="24"/>
        </w:rPr>
        <w:t>there are</w:t>
      </w:r>
      <w:r w:rsidR="00A26816" w:rsidRPr="00D77AB8">
        <w:rPr>
          <w:rFonts w:cs="Times New Roman"/>
          <w:szCs w:val="24"/>
        </w:rPr>
        <w:t xml:space="preserve"> </w:t>
      </w:r>
      <w:r w:rsidR="00541A47" w:rsidRPr="00D77AB8">
        <w:rPr>
          <w:rFonts w:cs="Times New Roman"/>
          <w:szCs w:val="24"/>
        </w:rPr>
        <w:t>tensions between theorising and practicing th</w:t>
      </w:r>
      <w:r w:rsidR="00A26816" w:rsidRPr="00D77AB8">
        <w:rPr>
          <w:rFonts w:cs="Times New Roman"/>
          <w:szCs w:val="24"/>
        </w:rPr>
        <w:t xml:space="preserve">e </w:t>
      </w:r>
      <w:proofErr w:type="spellStart"/>
      <w:r w:rsidR="00A26816" w:rsidRPr="00D77AB8">
        <w:rPr>
          <w:rFonts w:cs="Times New Roman"/>
          <w:szCs w:val="24"/>
        </w:rPr>
        <w:t>SaP</w:t>
      </w:r>
      <w:proofErr w:type="spellEnd"/>
      <w:r w:rsidR="00541A47" w:rsidRPr="00D77AB8">
        <w:rPr>
          <w:rFonts w:cs="Times New Roman"/>
          <w:szCs w:val="24"/>
        </w:rPr>
        <w:t xml:space="preserve"> approach</w:t>
      </w:r>
      <w:r w:rsidR="00A26816" w:rsidRPr="00D77AB8">
        <w:rPr>
          <w:rFonts w:cs="Times New Roman"/>
          <w:szCs w:val="24"/>
        </w:rPr>
        <w:t xml:space="preserve"> </w:t>
      </w:r>
      <w:r w:rsidR="00C45943" w:rsidRPr="00D77AB8">
        <w:rPr>
          <w:rFonts w:cs="Times New Roman"/>
          <w:szCs w:val="24"/>
        </w:rPr>
        <w:t>(</w:t>
      </w:r>
      <w:r w:rsidR="00A26816" w:rsidRPr="00D77AB8">
        <w:rPr>
          <w:rFonts w:cs="Times New Roman"/>
          <w:szCs w:val="24"/>
        </w:rPr>
        <w:t>Freeman, 2016</w:t>
      </w:r>
      <w:r w:rsidR="00674CBC" w:rsidRPr="00D77AB8">
        <w:rPr>
          <w:rFonts w:cs="Times New Roman"/>
          <w:szCs w:val="24"/>
        </w:rPr>
        <w:t>,</w:t>
      </w:r>
      <w:r w:rsidR="00A26816" w:rsidRPr="00D77AB8">
        <w:rPr>
          <w:rFonts w:cs="Times New Roman"/>
          <w:szCs w:val="24"/>
        </w:rPr>
        <w:t xml:space="preserve"> </w:t>
      </w:r>
      <w:proofErr w:type="spellStart"/>
      <w:r w:rsidR="00674CBC" w:rsidRPr="00D77AB8">
        <w:rPr>
          <w:rFonts w:cs="Times New Roman"/>
          <w:szCs w:val="24"/>
        </w:rPr>
        <w:t>Gravett</w:t>
      </w:r>
      <w:proofErr w:type="spellEnd"/>
      <w:r w:rsidR="00674CBC" w:rsidRPr="00D77AB8">
        <w:rPr>
          <w:rFonts w:cs="Times New Roman"/>
          <w:szCs w:val="24"/>
        </w:rPr>
        <w:t xml:space="preserve"> et al., 2020; Matthews et al., 2018; </w:t>
      </w:r>
      <w:r w:rsidR="00A26816" w:rsidRPr="00D77AB8">
        <w:rPr>
          <w:rFonts w:cs="Times New Roman"/>
          <w:szCs w:val="24"/>
        </w:rPr>
        <w:t>White 2018</w:t>
      </w:r>
      <w:r w:rsidR="00C45943" w:rsidRPr="00D77AB8">
        <w:rPr>
          <w:rFonts w:cs="Times New Roman"/>
          <w:szCs w:val="24"/>
        </w:rPr>
        <w:t>)</w:t>
      </w:r>
      <w:r w:rsidR="00A26816" w:rsidRPr="00D77AB8">
        <w:rPr>
          <w:rFonts w:cs="Times New Roman"/>
          <w:szCs w:val="24"/>
        </w:rPr>
        <w:t xml:space="preserve">. </w:t>
      </w:r>
    </w:p>
    <w:p w14:paraId="4A4DE05A" w14:textId="1C560FDF" w:rsidR="00656ACB" w:rsidRPr="00D77AB8" w:rsidRDefault="00972AC0" w:rsidP="00D77AB8">
      <w:pPr>
        <w:ind w:firstLine="720"/>
        <w:rPr>
          <w:rFonts w:cs="Times New Roman"/>
          <w:szCs w:val="24"/>
        </w:rPr>
      </w:pPr>
      <w:r w:rsidRPr="00D77AB8">
        <w:rPr>
          <w:rFonts w:cs="Times New Roman"/>
          <w:szCs w:val="24"/>
        </w:rPr>
        <w:t xml:space="preserve">In this session, we will discuss examples </w:t>
      </w:r>
      <w:r w:rsidR="00124C6F" w:rsidRPr="00D77AB8">
        <w:rPr>
          <w:rFonts w:cs="Times New Roman"/>
          <w:szCs w:val="24"/>
        </w:rPr>
        <w:t xml:space="preserve">of </w:t>
      </w:r>
      <w:r w:rsidRPr="00D77AB8">
        <w:rPr>
          <w:rFonts w:cs="Times New Roman"/>
          <w:szCs w:val="24"/>
        </w:rPr>
        <w:t>teaching practice</w:t>
      </w:r>
      <w:r w:rsidR="00124C6F" w:rsidRPr="00D77AB8">
        <w:rPr>
          <w:rFonts w:cs="Times New Roman"/>
          <w:szCs w:val="24"/>
        </w:rPr>
        <w:t>s</w:t>
      </w:r>
      <w:r w:rsidRPr="00D77AB8">
        <w:rPr>
          <w:rFonts w:cs="Times New Roman"/>
          <w:szCs w:val="24"/>
        </w:rPr>
        <w:t xml:space="preserve"> </w:t>
      </w:r>
      <w:r w:rsidR="00124C6F" w:rsidRPr="00D77AB8">
        <w:rPr>
          <w:rFonts w:cs="Times New Roman"/>
          <w:szCs w:val="24"/>
        </w:rPr>
        <w:t xml:space="preserve">from </w:t>
      </w:r>
      <w:r w:rsidRPr="00D77AB8">
        <w:rPr>
          <w:rFonts w:cs="Times New Roman"/>
          <w:szCs w:val="24"/>
        </w:rPr>
        <w:t xml:space="preserve">two Australian Universities that </w:t>
      </w:r>
      <w:r w:rsidR="00124C6F" w:rsidRPr="00D77AB8">
        <w:rPr>
          <w:rFonts w:cs="Times New Roman"/>
          <w:szCs w:val="24"/>
        </w:rPr>
        <w:t xml:space="preserve">showcase </w:t>
      </w:r>
      <w:r w:rsidRPr="00D77AB8">
        <w:rPr>
          <w:rFonts w:cs="Times New Roman"/>
          <w:szCs w:val="24"/>
        </w:rPr>
        <w:t xml:space="preserve">the </w:t>
      </w:r>
      <w:proofErr w:type="spellStart"/>
      <w:r w:rsidRPr="00D77AB8">
        <w:rPr>
          <w:rFonts w:cs="Times New Roman"/>
          <w:szCs w:val="24"/>
        </w:rPr>
        <w:t>SaP</w:t>
      </w:r>
      <w:proofErr w:type="spellEnd"/>
      <w:r w:rsidRPr="00D77AB8">
        <w:rPr>
          <w:rFonts w:cs="Times New Roman"/>
          <w:szCs w:val="24"/>
        </w:rPr>
        <w:t xml:space="preserve"> metaphor</w:t>
      </w:r>
      <w:r w:rsidR="00D64A3C">
        <w:rPr>
          <w:rFonts w:cs="Times New Roman"/>
          <w:szCs w:val="24"/>
        </w:rPr>
        <w:t xml:space="preserve">: the University of Sydney Business School and </w:t>
      </w:r>
      <w:r w:rsidR="00D64A3C" w:rsidRPr="00D64A3C">
        <w:rPr>
          <w:rFonts w:cs="Times New Roman"/>
          <w:szCs w:val="24"/>
        </w:rPr>
        <w:t>Swinburne University of Technology</w:t>
      </w:r>
      <w:r w:rsidR="005D5547">
        <w:rPr>
          <w:rFonts w:cs="Times New Roman"/>
          <w:szCs w:val="24"/>
        </w:rPr>
        <w:t xml:space="preserve">. </w:t>
      </w:r>
      <w:r w:rsidR="00124C6F" w:rsidRPr="00D77AB8">
        <w:rPr>
          <w:rFonts w:cs="Times New Roman"/>
          <w:szCs w:val="24"/>
        </w:rPr>
        <w:t xml:space="preserve">It is </w:t>
      </w:r>
      <w:r w:rsidR="00265FBE" w:rsidRPr="00D77AB8">
        <w:rPr>
          <w:rFonts w:cs="Times New Roman"/>
          <w:szCs w:val="24"/>
        </w:rPr>
        <w:t xml:space="preserve">an </w:t>
      </w:r>
      <w:r w:rsidR="00124C6F" w:rsidRPr="00D77AB8">
        <w:rPr>
          <w:rFonts w:cs="Times New Roman"/>
          <w:szCs w:val="24"/>
        </w:rPr>
        <w:t xml:space="preserve">interactive session, as we would like to </w:t>
      </w:r>
      <w:r w:rsidRPr="00D77AB8">
        <w:rPr>
          <w:rFonts w:cs="Times New Roman"/>
          <w:szCs w:val="24"/>
        </w:rPr>
        <w:t xml:space="preserve">invite </w:t>
      </w:r>
      <w:r w:rsidR="00124C6F" w:rsidRPr="00D77AB8">
        <w:rPr>
          <w:rFonts w:cs="Times New Roman"/>
          <w:szCs w:val="24"/>
        </w:rPr>
        <w:t xml:space="preserve">the attendees to also share their examples and reflect on how we can better develop </w:t>
      </w:r>
      <w:proofErr w:type="spellStart"/>
      <w:r w:rsidR="00124C6F" w:rsidRPr="00D77AB8">
        <w:rPr>
          <w:rFonts w:cs="Times New Roman"/>
          <w:szCs w:val="24"/>
        </w:rPr>
        <w:t>SaP</w:t>
      </w:r>
      <w:proofErr w:type="spellEnd"/>
      <w:r w:rsidR="00124C6F" w:rsidRPr="00D77AB8">
        <w:rPr>
          <w:rFonts w:cs="Times New Roman"/>
          <w:szCs w:val="24"/>
        </w:rPr>
        <w:t xml:space="preserve"> teaching and learning practices. The e</w:t>
      </w:r>
      <w:r w:rsidR="005C22E1" w:rsidRPr="00D77AB8">
        <w:rPr>
          <w:rFonts w:cs="Times New Roman"/>
          <w:szCs w:val="24"/>
        </w:rPr>
        <w:t>xample</w:t>
      </w:r>
      <w:r w:rsidR="00510D00" w:rsidRPr="00D77AB8">
        <w:rPr>
          <w:rFonts w:cs="Times New Roman"/>
          <w:szCs w:val="24"/>
        </w:rPr>
        <w:t>s</w:t>
      </w:r>
      <w:r w:rsidR="005C22E1" w:rsidRPr="00D77AB8">
        <w:rPr>
          <w:rFonts w:cs="Times New Roman"/>
          <w:szCs w:val="24"/>
        </w:rPr>
        <w:t xml:space="preserve"> </w:t>
      </w:r>
      <w:r w:rsidR="00D22086" w:rsidRPr="00D77AB8">
        <w:rPr>
          <w:rFonts w:cs="Times New Roman"/>
          <w:szCs w:val="24"/>
        </w:rPr>
        <w:t xml:space="preserve">we plan to discuss </w:t>
      </w:r>
      <w:r w:rsidR="005C22E1" w:rsidRPr="00D77AB8">
        <w:rPr>
          <w:rFonts w:cs="Times New Roman"/>
          <w:szCs w:val="24"/>
        </w:rPr>
        <w:t xml:space="preserve">will vary from </w:t>
      </w:r>
      <w:r w:rsidR="00124C6F" w:rsidRPr="00D77AB8">
        <w:rPr>
          <w:rFonts w:cs="Times New Roman"/>
          <w:szCs w:val="24"/>
        </w:rPr>
        <w:t xml:space="preserve">a </w:t>
      </w:r>
      <w:r w:rsidR="00944BF8" w:rsidRPr="00D77AB8">
        <w:rPr>
          <w:rFonts w:cs="Times New Roman"/>
          <w:szCs w:val="24"/>
        </w:rPr>
        <w:t xml:space="preserve">radical flipped classroom design that engaged students as partners in </w:t>
      </w:r>
      <w:r w:rsidR="006E319A" w:rsidRPr="00D77AB8">
        <w:rPr>
          <w:rFonts w:cs="Times New Roman"/>
          <w:szCs w:val="24"/>
        </w:rPr>
        <w:t xml:space="preserve">the </w:t>
      </w:r>
      <w:r w:rsidR="00944BF8" w:rsidRPr="00D77AB8">
        <w:rPr>
          <w:rFonts w:cs="Times New Roman"/>
          <w:szCs w:val="24"/>
        </w:rPr>
        <w:t>co-creation of curriculum</w:t>
      </w:r>
      <w:r w:rsidR="00124C6F" w:rsidRPr="00D77AB8">
        <w:rPr>
          <w:rFonts w:cs="Times New Roman"/>
          <w:szCs w:val="24"/>
        </w:rPr>
        <w:t xml:space="preserve"> </w:t>
      </w:r>
      <w:r w:rsidR="006A0B9D" w:rsidRPr="00D77AB8">
        <w:rPr>
          <w:rFonts w:cs="Times New Roman"/>
          <w:szCs w:val="24"/>
        </w:rPr>
        <w:lastRenderedPageBreak/>
        <w:t xml:space="preserve">(Ishkova et al., 2021), </w:t>
      </w:r>
      <w:r w:rsidR="00124C6F" w:rsidRPr="00D77AB8">
        <w:rPr>
          <w:rFonts w:cs="Times New Roman"/>
          <w:szCs w:val="24"/>
        </w:rPr>
        <w:t>to</w:t>
      </w:r>
      <w:r w:rsidR="00CA6965" w:rsidRPr="00D77AB8">
        <w:rPr>
          <w:rFonts w:cs="Times New Roman"/>
          <w:szCs w:val="24"/>
        </w:rPr>
        <w:t xml:space="preserve"> </w:t>
      </w:r>
      <w:r w:rsidR="006E319A" w:rsidRPr="00D77AB8">
        <w:rPr>
          <w:rFonts w:cs="Times New Roman"/>
          <w:szCs w:val="24"/>
        </w:rPr>
        <w:t xml:space="preserve">the </w:t>
      </w:r>
      <w:r w:rsidR="00F47DA3" w:rsidRPr="00D77AB8">
        <w:rPr>
          <w:rFonts w:cs="Times New Roman"/>
          <w:szCs w:val="24"/>
        </w:rPr>
        <w:t>co-develop</w:t>
      </w:r>
      <w:r w:rsidR="00124C6F" w:rsidRPr="00D77AB8">
        <w:rPr>
          <w:rFonts w:cs="Times New Roman"/>
          <w:szCs w:val="24"/>
        </w:rPr>
        <w:t xml:space="preserve">ment of </w:t>
      </w:r>
      <w:r w:rsidR="00CA6965" w:rsidRPr="00D77AB8">
        <w:rPr>
          <w:rFonts w:cs="Times New Roman"/>
          <w:szCs w:val="24"/>
        </w:rPr>
        <w:t>assessment approaches</w:t>
      </w:r>
      <w:r w:rsidR="00CF5E1C">
        <w:rPr>
          <w:rFonts w:cs="Times New Roman"/>
          <w:szCs w:val="24"/>
        </w:rPr>
        <w:t>,</w:t>
      </w:r>
      <w:r w:rsidR="00CA6965" w:rsidRPr="00D77AB8">
        <w:rPr>
          <w:rFonts w:cs="Times New Roman"/>
          <w:szCs w:val="24"/>
        </w:rPr>
        <w:t xml:space="preserve"> </w:t>
      </w:r>
      <w:r w:rsidR="00124C6F" w:rsidRPr="00D77AB8">
        <w:rPr>
          <w:rFonts w:cs="Times New Roman"/>
          <w:szCs w:val="24"/>
        </w:rPr>
        <w:t xml:space="preserve">which are all aimed at inspiring </w:t>
      </w:r>
      <w:r w:rsidR="00CA6965" w:rsidRPr="00D77AB8">
        <w:rPr>
          <w:rFonts w:cs="Times New Roman"/>
          <w:szCs w:val="24"/>
        </w:rPr>
        <w:t xml:space="preserve">deep learning via </w:t>
      </w:r>
      <w:r w:rsidR="006E319A" w:rsidRPr="00D77AB8">
        <w:rPr>
          <w:rFonts w:cs="Times New Roman"/>
          <w:szCs w:val="24"/>
        </w:rPr>
        <w:t xml:space="preserve">the </w:t>
      </w:r>
      <w:r w:rsidR="00CA6965" w:rsidRPr="00D77AB8">
        <w:rPr>
          <w:rFonts w:cs="Times New Roman"/>
          <w:szCs w:val="24"/>
        </w:rPr>
        <w:t xml:space="preserve">co-creation </w:t>
      </w:r>
      <w:r w:rsidR="00F47DA3" w:rsidRPr="00D77AB8">
        <w:rPr>
          <w:rFonts w:cs="Times New Roman"/>
          <w:szCs w:val="24"/>
        </w:rPr>
        <w:t>of knowledge</w:t>
      </w:r>
      <w:r w:rsidR="00124C6F" w:rsidRPr="00D77AB8">
        <w:rPr>
          <w:rFonts w:cs="Times New Roman"/>
          <w:szCs w:val="24"/>
        </w:rPr>
        <w:t xml:space="preserve">. </w:t>
      </w:r>
      <w:proofErr w:type="gramStart"/>
      <w:r w:rsidR="00124C6F" w:rsidRPr="00D77AB8">
        <w:rPr>
          <w:rFonts w:cs="Times New Roman"/>
          <w:szCs w:val="24"/>
        </w:rPr>
        <w:t>In particular, we</w:t>
      </w:r>
      <w:proofErr w:type="gramEnd"/>
      <w:r w:rsidR="00124C6F" w:rsidRPr="00D77AB8">
        <w:rPr>
          <w:rFonts w:cs="Times New Roman"/>
          <w:szCs w:val="24"/>
        </w:rPr>
        <w:t xml:space="preserve"> will discuss </w:t>
      </w:r>
      <w:r w:rsidR="006A0B9D" w:rsidRPr="00D77AB8">
        <w:rPr>
          <w:rFonts w:cs="Times New Roman"/>
          <w:szCs w:val="24"/>
        </w:rPr>
        <w:t xml:space="preserve">content co-creation and </w:t>
      </w:r>
      <w:r w:rsidR="00124C6F" w:rsidRPr="00D77AB8">
        <w:rPr>
          <w:rFonts w:cs="Times New Roman"/>
          <w:szCs w:val="24"/>
        </w:rPr>
        <w:t>peer</w:t>
      </w:r>
      <w:r w:rsidR="006E319A" w:rsidRPr="00D77AB8">
        <w:rPr>
          <w:rFonts w:cs="Times New Roman"/>
          <w:szCs w:val="24"/>
        </w:rPr>
        <w:t xml:space="preserve"> </w:t>
      </w:r>
      <w:r w:rsidR="00124C6F" w:rsidRPr="00D77AB8">
        <w:rPr>
          <w:rFonts w:cs="Times New Roman"/>
          <w:szCs w:val="24"/>
        </w:rPr>
        <w:t xml:space="preserve">feedback, which are </w:t>
      </w:r>
      <w:r w:rsidR="00CA6965" w:rsidRPr="00D77AB8">
        <w:rPr>
          <w:rFonts w:cs="Times New Roman"/>
          <w:szCs w:val="24"/>
        </w:rPr>
        <w:t>outlined below</w:t>
      </w:r>
      <w:r w:rsidR="00763250" w:rsidRPr="00D77AB8">
        <w:rPr>
          <w:rFonts w:cs="Times New Roman"/>
          <w:szCs w:val="24"/>
        </w:rPr>
        <w:t>.</w:t>
      </w:r>
    </w:p>
    <w:p w14:paraId="28D42D22" w14:textId="7E9D954E" w:rsidR="00EA01DE" w:rsidRPr="00D77AB8" w:rsidRDefault="003D2D2D" w:rsidP="00EA01DE">
      <w:pPr>
        <w:spacing w:after="160" w:line="259" w:lineRule="auto"/>
        <w:rPr>
          <w:rFonts w:cs="Times New Roman"/>
          <w:b/>
          <w:bCs/>
          <w:szCs w:val="24"/>
        </w:rPr>
      </w:pPr>
      <w:r w:rsidRPr="00D77AB8">
        <w:rPr>
          <w:rFonts w:cs="Times New Roman"/>
          <w:b/>
          <w:bCs/>
          <w:szCs w:val="24"/>
        </w:rPr>
        <w:t>Content co-creation</w:t>
      </w:r>
    </w:p>
    <w:p w14:paraId="7A185AFB" w14:textId="634B6FFD" w:rsidR="006774D8" w:rsidRPr="00D77AB8" w:rsidRDefault="00EA01DE" w:rsidP="00D77AB8">
      <w:pPr>
        <w:spacing w:after="160"/>
        <w:ind w:firstLine="720"/>
        <w:rPr>
          <w:rFonts w:cs="Times New Roman"/>
          <w:szCs w:val="24"/>
        </w:rPr>
      </w:pPr>
      <w:r w:rsidRPr="00D77AB8">
        <w:rPr>
          <w:rFonts w:cs="Times New Roman"/>
          <w:szCs w:val="24"/>
        </w:rPr>
        <w:t>Th</w:t>
      </w:r>
      <w:r w:rsidR="00966637" w:rsidRPr="00D77AB8">
        <w:rPr>
          <w:rFonts w:cs="Times New Roman"/>
          <w:szCs w:val="24"/>
        </w:rPr>
        <w:t>is</w:t>
      </w:r>
      <w:r w:rsidRPr="00D77AB8">
        <w:rPr>
          <w:rFonts w:cs="Times New Roman"/>
          <w:szCs w:val="24"/>
        </w:rPr>
        <w:t xml:space="preserve"> vision of </w:t>
      </w:r>
      <w:proofErr w:type="spellStart"/>
      <w:r w:rsidR="00DE0412">
        <w:rPr>
          <w:rFonts w:cs="Times New Roman"/>
          <w:szCs w:val="24"/>
        </w:rPr>
        <w:t>SaP</w:t>
      </w:r>
      <w:proofErr w:type="spellEnd"/>
      <w:r w:rsidRPr="00D77AB8">
        <w:rPr>
          <w:rFonts w:cs="Times New Roman"/>
          <w:szCs w:val="24"/>
        </w:rPr>
        <w:t xml:space="preserve"> emerged to sustain </w:t>
      </w:r>
      <w:r w:rsidR="00DE0412">
        <w:rPr>
          <w:rFonts w:cs="Times New Roman"/>
          <w:szCs w:val="24"/>
        </w:rPr>
        <w:t xml:space="preserve">student </w:t>
      </w:r>
      <w:r w:rsidRPr="00D77AB8">
        <w:rPr>
          <w:rFonts w:cs="Times New Roman"/>
          <w:szCs w:val="24"/>
        </w:rPr>
        <w:t>engagement during online delivery and target spaced and paced learning pattern</w:t>
      </w:r>
      <w:r w:rsidR="006E319A" w:rsidRPr="00D77AB8">
        <w:rPr>
          <w:rFonts w:cs="Times New Roman"/>
          <w:szCs w:val="24"/>
        </w:rPr>
        <w:t>s</w:t>
      </w:r>
      <w:r w:rsidRPr="00D77AB8">
        <w:rPr>
          <w:rFonts w:cs="Times New Roman"/>
          <w:szCs w:val="24"/>
        </w:rPr>
        <w:t xml:space="preserve"> to improve long</w:t>
      </w:r>
      <w:r w:rsidR="006E319A" w:rsidRPr="00D77AB8">
        <w:rPr>
          <w:rFonts w:cs="Times New Roman"/>
          <w:szCs w:val="24"/>
        </w:rPr>
        <w:t>-</w:t>
      </w:r>
      <w:r w:rsidRPr="00D77AB8">
        <w:rPr>
          <w:rFonts w:cs="Times New Roman"/>
          <w:szCs w:val="24"/>
        </w:rPr>
        <w:t>term memory retention. To inform digital strategy, pre</w:t>
      </w:r>
      <w:r w:rsidR="00CF5E1C">
        <w:rPr>
          <w:rFonts w:cs="Times New Roman"/>
          <w:szCs w:val="24"/>
        </w:rPr>
        <w:t>-</w:t>
      </w:r>
      <w:r w:rsidRPr="00D77AB8">
        <w:rPr>
          <w:rFonts w:cs="Times New Roman"/>
          <w:szCs w:val="24"/>
        </w:rPr>
        <w:t>class surveys indicated that 83% of the first-year students were aged 24 years or under,</w:t>
      </w:r>
      <w:r w:rsidR="003D2D2D" w:rsidRPr="00D77AB8">
        <w:rPr>
          <w:rFonts w:cs="Times New Roman"/>
          <w:szCs w:val="24"/>
        </w:rPr>
        <w:t xml:space="preserve"> </w:t>
      </w:r>
      <w:r w:rsidRPr="00D77AB8">
        <w:rPr>
          <w:rFonts w:cs="Times New Roman"/>
          <w:szCs w:val="24"/>
        </w:rPr>
        <w:t>89% were multi-modal and visual learners, and 93.5% indicated that gamification quizzes and challenges interested them. Thus, the peer leadership strategy focused on piloting</w:t>
      </w:r>
      <w:r w:rsidR="00FB5DC5" w:rsidRPr="00D77AB8">
        <w:rPr>
          <w:rFonts w:cs="Times New Roman"/>
          <w:szCs w:val="24"/>
        </w:rPr>
        <w:t xml:space="preserve"> a mobile learning platform </w:t>
      </w:r>
      <w:r w:rsidR="00016CED" w:rsidRPr="00D77AB8">
        <w:rPr>
          <w:rFonts w:cs="Times New Roman"/>
          <w:szCs w:val="24"/>
        </w:rPr>
        <w:t xml:space="preserve">Quitch </w:t>
      </w:r>
      <w:r w:rsidR="00CF5E1C">
        <w:rPr>
          <w:rFonts w:cs="Times New Roman"/>
          <w:szCs w:val="24"/>
        </w:rPr>
        <w:t xml:space="preserve">(2022) </w:t>
      </w:r>
      <w:r w:rsidR="00FB5DC5" w:rsidRPr="00D77AB8">
        <w:rPr>
          <w:rFonts w:cs="Times New Roman"/>
          <w:szCs w:val="24"/>
        </w:rPr>
        <w:t xml:space="preserve">designed to improve </w:t>
      </w:r>
      <w:r w:rsidR="00DE0412">
        <w:rPr>
          <w:rFonts w:cs="Times New Roman"/>
          <w:szCs w:val="24"/>
        </w:rPr>
        <w:t xml:space="preserve">student </w:t>
      </w:r>
      <w:r w:rsidR="00FB5DC5" w:rsidRPr="00D77AB8">
        <w:rPr>
          <w:rFonts w:cs="Times New Roman"/>
          <w:szCs w:val="24"/>
        </w:rPr>
        <w:t>retention and boost performance through game-based techniques</w:t>
      </w:r>
      <w:r w:rsidRPr="00D77AB8">
        <w:rPr>
          <w:rFonts w:cs="Times New Roman"/>
          <w:szCs w:val="24"/>
        </w:rPr>
        <w:t xml:space="preserve"> for content co-creation. Through the Quitch Educator Portal, students co-created questions and resources which could be easily reviewed by academic staff for quality assurance before being published, ensuring content accuracy. Access to the Educator Portal also allowed for tracking student </w:t>
      </w:r>
      <w:r w:rsidR="006E319A" w:rsidRPr="00D77AB8">
        <w:rPr>
          <w:rFonts w:cs="Times New Roman"/>
          <w:szCs w:val="24"/>
        </w:rPr>
        <w:t xml:space="preserve">engagement and </w:t>
      </w:r>
      <w:r w:rsidRPr="00D77AB8">
        <w:rPr>
          <w:rFonts w:cs="Times New Roman"/>
          <w:szCs w:val="24"/>
        </w:rPr>
        <w:t>assess</w:t>
      </w:r>
      <w:r w:rsidR="006E319A" w:rsidRPr="00D77AB8">
        <w:rPr>
          <w:rFonts w:cs="Times New Roman"/>
          <w:szCs w:val="24"/>
        </w:rPr>
        <w:t>ing</w:t>
      </w:r>
      <w:r w:rsidRPr="00D77AB8">
        <w:rPr>
          <w:rFonts w:cs="Times New Roman"/>
          <w:szCs w:val="24"/>
        </w:rPr>
        <w:t xml:space="preserve"> participation and performance (accuracy) in real time. It also allowed for sharing multi-modal peer</w:t>
      </w:r>
      <w:r w:rsidR="006E319A" w:rsidRPr="00D77AB8">
        <w:rPr>
          <w:rFonts w:cs="Times New Roman"/>
          <w:szCs w:val="24"/>
        </w:rPr>
        <w:t>-</w:t>
      </w:r>
      <w:r w:rsidRPr="00D77AB8">
        <w:rPr>
          <w:rFonts w:cs="Times New Roman"/>
          <w:szCs w:val="24"/>
        </w:rPr>
        <w:t>created resources from modern media sites such as TikTok and YouTube. These resources accompanied the weekly content and assisted with student understanding of that content. Student feedback was collected during live sessions and polls within MS Teams and actively implemented to adapt exam revision content, such as review materials and quizzes, to address student knowledge gaps.</w:t>
      </w:r>
    </w:p>
    <w:p w14:paraId="6E2C43D1" w14:textId="707C2338" w:rsidR="00ED30CE" w:rsidRPr="00D77AB8" w:rsidRDefault="00EA01DE" w:rsidP="00D77AB8">
      <w:pPr>
        <w:spacing w:after="160"/>
        <w:ind w:firstLine="720"/>
        <w:rPr>
          <w:rFonts w:cs="Times New Roman"/>
          <w:szCs w:val="24"/>
        </w:rPr>
      </w:pPr>
      <w:r w:rsidRPr="00D77AB8">
        <w:rPr>
          <w:rFonts w:cs="Times New Roman"/>
          <w:szCs w:val="24"/>
        </w:rPr>
        <w:t xml:space="preserve">Academically, students who opted to use the app received an average final grade </w:t>
      </w:r>
      <w:r w:rsidR="006E319A" w:rsidRPr="00D77AB8">
        <w:rPr>
          <w:rFonts w:cs="Times New Roman"/>
          <w:szCs w:val="24"/>
        </w:rPr>
        <w:t xml:space="preserve">of </w:t>
      </w:r>
      <w:r w:rsidRPr="00D77AB8">
        <w:rPr>
          <w:rFonts w:cs="Times New Roman"/>
          <w:szCs w:val="24"/>
        </w:rPr>
        <w:t xml:space="preserve">23% higher than those who did not download the app. In conclusion, the students reported that this experience provided a student-partnership exemplar at a time when coming together was more important than ever through the COVID-19 remote learning period. The group created an intentional experience that flourished in part because their subject convenor had </w:t>
      </w:r>
      <w:r w:rsidRPr="00D77AB8">
        <w:rPr>
          <w:rFonts w:cs="Times New Roman"/>
          <w:szCs w:val="24"/>
        </w:rPr>
        <w:lastRenderedPageBreak/>
        <w:t>the curiosity, willingness and generosity of spirit to try something different. Beyond the academic benefits, the students enrolled in the unit reported a sense of ownership and ability to improve communication skills and content creation while fostering a sense of community to help stay connected. They reported that they have learned that meaningful connections can be achieved in a virtual world and that the new gamified technologies such as Quitch introduce an exciting and effective means for positive learning behavio</w:t>
      </w:r>
      <w:r w:rsidR="005F7274" w:rsidRPr="00D77AB8">
        <w:rPr>
          <w:rFonts w:cs="Times New Roman"/>
          <w:szCs w:val="24"/>
        </w:rPr>
        <w:t>u</w:t>
      </w:r>
      <w:r w:rsidRPr="00D77AB8">
        <w:rPr>
          <w:rFonts w:cs="Times New Roman"/>
          <w:szCs w:val="24"/>
        </w:rPr>
        <w:t>rs and accordingly improv</w:t>
      </w:r>
      <w:r w:rsidR="005F7274" w:rsidRPr="00D77AB8">
        <w:rPr>
          <w:rFonts w:cs="Times New Roman"/>
          <w:szCs w:val="24"/>
        </w:rPr>
        <w:t>e</w:t>
      </w:r>
      <w:r w:rsidRPr="00D77AB8">
        <w:rPr>
          <w:rFonts w:cs="Times New Roman"/>
          <w:szCs w:val="24"/>
        </w:rPr>
        <w:t xml:space="preserve"> academic performance</w:t>
      </w:r>
      <w:r w:rsidR="003D2D2D" w:rsidRPr="00D77AB8">
        <w:rPr>
          <w:rFonts w:cs="Times New Roman"/>
          <w:szCs w:val="24"/>
        </w:rPr>
        <w:t xml:space="preserve"> (</w:t>
      </w:r>
      <w:r w:rsidR="000D4EA1" w:rsidRPr="00D77AB8">
        <w:rPr>
          <w:rFonts w:cs="Times New Roman"/>
          <w:szCs w:val="24"/>
        </w:rPr>
        <w:t>Wust et al., 2021)</w:t>
      </w:r>
    </w:p>
    <w:p w14:paraId="7A65341D" w14:textId="7663E91E" w:rsidR="003D2D2D" w:rsidRPr="00D77AB8" w:rsidRDefault="003D2D2D" w:rsidP="00B6662D">
      <w:pPr>
        <w:spacing w:after="160" w:line="259" w:lineRule="auto"/>
        <w:rPr>
          <w:rFonts w:cs="Times New Roman"/>
          <w:b/>
          <w:bCs/>
          <w:szCs w:val="24"/>
        </w:rPr>
      </w:pPr>
      <w:r w:rsidRPr="00D77AB8">
        <w:rPr>
          <w:rFonts w:cs="Times New Roman"/>
          <w:b/>
          <w:bCs/>
          <w:szCs w:val="24"/>
        </w:rPr>
        <w:t>Peer-to-peer feedback</w:t>
      </w:r>
    </w:p>
    <w:p w14:paraId="53CC9BC8" w14:textId="7C020460" w:rsidR="002526B0" w:rsidRPr="00D77AB8" w:rsidRDefault="002526B0" w:rsidP="00D77AB8">
      <w:pPr>
        <w:ind w:firstLine="720"/>
        <w:rPr>
          <w:rFonts w:cs="Times New Roman"/>
          <w:szCs w:val="24"/>
        </w:rPr>
      </w:pPr>
      <w:r w:rsidRPr="00D77AB8">
        <w:rPr>
          <w:rFonts w:cs="Times New Roman"/>
          <w:szCs w:val="24"/>
        </w:rPr>
        <w:t xml:space="preserve">Most educators would relate to the challenges of students complaining about free riders, poor communication and conflict in group assignments. As a result, students become dissatisfied or have </w:t>
      </w:r>
      <w:r w:rsidR="005F7274" w:rsidRPr="00D77AB8">
        <w:rPr>
          <w:rFonts w:cs="Times New Roman"/>
          <w:szCs w:val="24"/>
        </w:rPr>
        <w:t xml:space="preserve">a </w:t>
      </w:r>
      <w:r w:rsidRPr="00D77AB8">
        <w:rPr>
          <w:rFonts w:cs="Times New Roman"/>
          <w:szCs w:val="24"/>
        </w:rPr>
        <w:t xml:space="preserve">negative experience of teamwork, especially when it comes to </w:t>
      </w:r>
      <w:r w:rsidR="005F7274" w:rsidRPr="00D77AB8">
        <w:rPr>
          <w:rFonts w:cs="Times New Roman"/>
          <w:szCs w:val="24"/>
        </w:rPr>
        <w:t xml:space="preserve">the </w:t>
      </w:r>
      <w:r w:rsidRPr="00D77AB8">
        <w:rPr>
          <w:rFonts w:cs="Times New Roman"/>
          <w:szCs w:val="24"/>
        </w:rPr>
        <w:t>free rider and social loafing effects. Researchers and educators recognise that one of the ways to remediate free riding challenges is to use peer feedback (</w:t>
      </w:r>
      <w:proofErr w:type="spellStart"/>
      <w:r w:rsidRPr="00D77AB8">
        <w:rPr>
          <w:rFonts w:cs="Times New Roman"/>
          <w:szCs w:val="24"/>
        </w:rPr>
        <w:t>Ohland</w:t>
      </w:r>
      <w:proofErr w:type="spellEnd"/>
      <w:r w:rsidRPr="00D77AB8">
        <w:rPr>
          <w:rFonts w:cs="Times New Roman"/>
          <w:szCs w:val="24"/>
        </w:rPr>
        <w:t xml:space="preserve"> et al., 2012) as a tool to allow educators to gain insights into the contributions of each member and thus fairly assign grades according to the students’ contributions </w:t>
      </w:r>
      <w:r w:rsidRPr="00D77AB8">
        <w:rPr>
          <w:rFonts w:eastAsia="Times New Roman" w:cs="Times New Roman"/>
          <w:szCs w:val="24"/>
        </w:rPr>
        <w:t xml:space="preserve">(Chen &amp; Lou, 2004; </w:t>
      </w:r>
      <w:proofErr w:type="spellStart"/>
      <w:r w:rsidRPr="00D77AB8">
        <w:rPr>
          <w:rFonts w:eastAsia="Times New Roman" w:cs="Times New Roman"/>
          <w:szCs w:val="24"/>
        </w:rPr>
        <w:t>Fellenz</w:t>
      </w:r>
      <w:proofErr w:type="spellEnd"/>
      <w:r w:rsidRPr="00D77AB8">
        <w:rPr>
          <w:rFonts w:eastAsia="Times New Roman" w:cs="Times New Roman"/>
          <w:szCs w:val="24"/>
        </w:rPr>
        <w:t>, 2006)</w:t>
      </w:r>
      <w:r w:rsidRPr="00D77AB8">
        <w:rPr>
          <w:rFonts w:cs="Times New Roman"/>
          <w:szCs w:val="24"/>
        </w:rPr>
        <w:t>. However, the use of peer feedback as a decision tool in determining students’ grade</w:t>
      </w:r>
      <w:r w:rsidR="005F7274" w:rsidRPr="00D77AB8">
        <w:rPr>
          <w:rFonts w:cs="Times New Roman"/>
          <w:szCs w:val="24"/>
        </w:rPr>
        <w:t>s</w:t>
      </w:r>
      <w:r w:rsidRPr="00D77AB8">
        <w:rPr>
          <w:rFonts w:cs="Times New Roman"/>
          <w:szCs w:val="24"/>
        </w:rPr>
        <w:t xml:space="preserve"> has been criticised because such </w:t>
      </w:r>
      <w:r w:rsidR="005F7274" w:rsidRPr="00D77AB8">
        <w:rPr>
          <w:rFonts w:cs="Times New Roman"/>
          <w:szCs w:val="24"/>
        </w:rPr>
        <w:t xml:space="preserve">an </w:t>
      </w:r>
      <w:r w:rsidRPr="00D77AB8">
        <w:rPr>
          <w:rFonts w:cs="Times New Roman"/>
          <w:szCs w:val="24"/>
        </w:rPr>
        <w:t xml:space="preserve">approach discourages students from providing an honest assessment and feedback as their ratings would influence their final grade (Sridharan et al., 2018). </w:t>
      </w:r>
      <w:r w:rsidR="00513CF0" w:rsidRPr="00D77AB8">
        <w:rPr>
          <w:rFonts w:cs="Times New Roman"/>
          <w:szCs w:val="24"/>
        </w:rPr>
        <w:t xml:space="preserve">More importantly, this approach limits </w:t>
      </w:r>
      <w:r w:rsidRPr="00D77AB8">
        <w:rPr>
          <w:rFonts w:cs="Times New Roman"/>
          <w:szCs w:val="24"/>
        </w:rPr>
        <w:t xml:space="preserve">students </w:t>
      </w:r>
      <w:r w:rsidR="00513CF0" w:rsidRPr="00D77AB8">
        <w:rPr>
          <w:rFonts w:cs="Times New Roman"/>
          <w:szCs w:val="24"/>
        </w:rPr>
        <w:t xml:space="preserve">from learning </w:t>
      </w:r>
      <w:r w:rsidRPr="00D77AB8">
        <w:rPr>
          <w:rFonts w:cs="Times New Roman"/>
          <w:szCs w:val="24"/>
        </w:rPr>
        <w:t>how to engage with feedback and provide objective evaluative judgment (</w:t>
      </w:r>
      <w:proofErr w:type="spellStart"/>
      <w:r w:rsidRPr="00D77AB8">
        <w:rPr>
          <w:rFonts w:cs="Times New Roman"/>
          <w:szCs w:val="24"/>
        </w:rPr>
        <w:t>Boud</w:t>
      </w:r>
      <w:proofErr w:type="spellEnd"/>
      <w:r w:rsidRPr="00D77AB8">
        <w:rPr>
          <w:rFonts w:cs="Times New Roman"/>
          <w:szCs w:val="24"/>
        </w:rPr>
        <w:t xml:space="preserve"> et al., 2018). </w:t>
      </w:r>
    </w:p>
    <w:p w14:paraId="6B81374C" w14:textId="31D0AA2D" w:rsidR="002526B0" w:rsidRPr="00D77AB8" w:rsidRDefault="002526B0" w:rsidP="002526B0">
      <w:pPr>
        <w:ind w:firstLine="720"/>
        <w:rPr>
          <w:rFonts w:cs="Times New Roman"/>
          <w:szCs w:val="24"/>
        </w:rPr>
      </w:pPr>
      <w:r w:rsidRPr="00D77AB8">
        <w:rPr>
          <w:rFonts w:cs="Times New Roman"/>
          <w:szCs w:val="24"/>
        </w:rPr>
        <w:t>The work by</w:t>
      </w:r>
      <w:r w:rsidRPr="00D77AB8">
        <w:rPr>
          <w:rFonts w:cs="Times New Roman"/>
          <w:szCs w:val="24"/>
          <w:lang w:val="en-GB"/>
        </w:rPr>
        <w:t xml:space="preserve"> Ibarra-</w:t>
      </w:r>
      <w:proofErr w:type="spellStart"/>
      <w:r w:rsidRPr="00D77AB8">
        <w:rPr>
          <w:rFonts w:cs="Times New Roman"/>
          <w:szCs w:val="24"/>
          <w:lang w:val="en-GB"/>
        </w:rPr>
        <w:t>Sáiz</w:t>
      </w:r>
      <w:proofErr w:type="spellEnd"/>
      <w:r w:rsidRPr="00D77AB8">
        <w:rPr>
          <w:rFonts w:cs="Times New Roman"/>
          <w:szCs w:val="24"/>
          <w:lang w:val="en-GB"/>
        </w:rPr>
        <w:t xml:space="preserve">, Rodríguez-Gómez and </w:t>
      </w:r>
      <w:proofErr w:type="spellStart"/>
      <w:r w:rsidRPr="00D77AB8">
        <w:rPr>
          <w:rFonts w:cs="Times New Roman"/>
          <w:szCs w:val="24"/>
          <w:lang w:val="en-GB"/>
        </w:rPr>
        <w:t>Boud</w:t>
      </w:r>
      <w:proofErr w:type="spellEnd"/>
      <w:r w:rsidRPr="00D77AB8">
        <w:rPr>
          <w:rFonts w:cs="Times New Roman"/>
          <w:szCs w:val="24"/>
        </w:rPr>
        <w:t xml:space="preserve"> (2020) conclude</w:t>
      </w:r>
      <w:r w:rsidR="005F7274" w:rsidRPr="00D77AB8">
        <w:rPr>
          <w:rFonts w:cs="Times New Roman"/>
          <w:szCs w:val="24"/>
        </w:rPr>
        <w:t>s</w:t>
      </w:r>
      <w:r w:rsidRPr="00D77AB8">
        <w:rPr>
          <w:rFonts w:cs="Times New Roman"/>
          <w:szCs w:val="24"/>
        </w:rPr>
        <w:t xml:space="preserve"> that involving students as partners in co-designing assessments, in this case, in the delivery of peer</w:t>
      </w:r>
      <w:r w:rsidR="005F7274" w:rsidRPr="00D77AB8">
        <w:rPr>
          <w:rFonts w:cs="Times New Roman"/>
          <w:szCs w:val="24"/>
        </w:rPr>
        <w:t xml:space="preserve"> </w:t>
      </w:r>
      <w:r w:rsidRPr="00D77AB8">
        <w:rPr>
          <w:rFonts w:cs="Times New Roman"/>
          <w:szCs w:val="24"/>
        </w:rPr>
        <w:t>feedback and ratings</w:t>
      </w:r>
      <w:r w:rsidR="00362E76" w:rsidRPr="00D77AB8">
        <w:rPr>
          <w:rFonts w:cs="Times New Roman"/>
          <w:szCs w:val="24"/>
        </w:rPr>
        <w:t>,</w:t>
      </w:r>
      <w:r w:rsidRPr="00D77AB8">
        <w:rPr>
          <w:rFonts w:cs="Times New Roman"/>
          <w:szCs w:val="24"/>
        </w:rPr>
        <w:t xml:space="preserve"> will help to enhance students’ self-regulated learning and </w:t>
      </w:r>
      <w:r w:rsidR="00DE0412">
        <w:rPr>
          <w:rFonts w:cs="Times New Roman"/>
          <w:szCs w:val="24"/>
        </w:rPr>
        <w:t xml:space="preserve">their </w:t>
      </w:r>
      <w:r w:rsidRPr="00D77AB8">
        <w:rPr>
          <w:rFonts w:cs="Times New Roman"/>
          <w:szCs w:val="24"/>
        </w:rPr>
        <w:t xml:space="preserve">ability to engage with feedback. </w:t>
      </w:r>
      <w:r w:rsidR="00221BC9" w:rsidRPr="00D77AB8">
        <w:rPr>
          <w:rFonts w:cs="Times New Roman"/>
          <w:szCs w:val="24"/>
        </w:rPr>
        <w:t>T</w:t>
      </w:r>
      <w:r w:rsidRPr="00D77AB8">
        <w:rPr>
          <w:rFonts w:cs="Times New Roman"/>
          <w:szCs w:val="24"/>
        </w:rPr>
        <w:t>he peer</w:t>
      </w:r>
      <w:r w:rsidR="005F7274" w:rsidRPr="00D77AB8">
        <w:rPr>
          <w:rFonts w:cs="Times New Roman"/>
          <w:szCs w:val="24"/>
        </w:rPr>
        <w:t xml:space="preserve"> </w:t>
      </w:r>
      <w:r w:rsidRPr="00D77AB8">
        <w:rPr>
          <w:rFonts w:cs="Times New Roman"/>
          <w:szCs w:val="24"/>
        </w:rPr>
        <w:t xml:space="preserve">feedback is designed to focus on eliciting students </w:t>
      </w:r>
      <w:r w:rsidR="00210AB5" w:rsidRPr="00D77AB8">
        <w:rPr>
          <w:rFonts w:cs="Times New Roman"/>
          <w:szCs w:val="24"/>
        </w:rPr>
        <w:t>to</w:t>
      </w:r>
      <w:r w:rsidRPr="00D77AB8">
        <w:rPr>
          <w:rFonts w:cs="Times New Roman"/>
          <w:szCs w:val="24"/>
        </w:rPr>
        <w:t xml:space="preserve"> craft constructive feedback </w:t>
      </w:r>
      <w:r w:rsidR="00DE0412">
        <w:rPr>
          <w:rFonts w:cs="Times New Roman"/>
          <w:szCs w:val="24"/>
        </w:rPr>
        <w:t>for</w:t>
      </w:r>
      <w:r w:rsidRPr="00D77AB8">
        <w:rPr>
          <w:rFonts w:cs="Times New Roman"/>
          <w:szCs w:val="24"/>
        </w:rPr>
        <w:t xml:space="preserve"> their peers on how they can better </w:t>
      </w:r>
      <w:r w:rsidR="00C967DE" w:rsidRPr="00D77AB8">
        <w:rPr>
          <w:rFonts w:cs="Times New Roman"/>
          <w:szCs w:val="24"/>
        </w:rPr>
        <w:t>enhance their</w:t>
      </w:r>
      <w:r w:rsidRPr="00D77AB8">
        <w:rPr>
          <w:rFonts w:cs="Times New Roman"/>
          <w:szCs w:val="24"/>
        </w:rPr>
        <w:t xml:space="preserve"> team </w:t>
      </w:r>
      <w:r w:rsidRPr="00D77AB8">
        <w:rPr>
          <w:rFonts w:cs="Times New Roman"/>
          <w:szCs w:val="24"/>
        </w:rPr>
        <w:lastRenderedPageBreak/>
        <w:t xml:space="preserve">contribution and teamwork skills. </w:t>
      </w:r>
      <w:r w:rsidR="00513CF0" w:rsidRPr="00D77AB8">
        <w:rPr>
          <w:rFonts w:cs="Times New Roman"/>
          <w:szCs w:val="24"/>
        </w:rPr>
        <w:t>Instead</w:t>
      </w:r>
      <w:r w:rsidRPr="00D77AB8">
        <w:rPr>
          <w:rFonts w:cs="Times New Roman"/>
          <w:szCs w:val="24"/>
        </w:rPr>
        <w:t xml:space="preserve"> of using the peer</w:t>
      </w:r>
      <w:r w:rsidR="005F7274" w:rsidRPr="00D77AB8">
        <w:rPr>
          <w:rFonts w:cs="Times New Roman"/>
          <w:szCs w:val="24"/>
        </w:rPr>
        <w:t xml:space="preserve"> </w:t>
      </w:r>
      <w:r w:rsidRPr="00D77AB8">
        <w:rPr>
          <w:rFonts w:cs="Times New Roman"/>
          <w:szCs w:val="24"/>
        </w:rPr>
        <w:t xml:space="preserve">feedback to determine students’ marks, marks are awarded </w:t>
      </w:r>
      <w:r w:rsidR="00362E76" w:rsidRPr="00D77AB8">
        <w:rPr>
          <w:rFonts w:cs="Times New Roman"/>
          <w:szCs w:val="24"/>
        </w:rPr>
        <w:t xml:space="preserve">based </w:t>
      </w:r>
      <w:r w:rsidRPr="00D77AB8">
        <w:rPr>
          <w:rFonts w:cs="Times New Roman"/>
          <w:szCs w:val="24"/>
        </w:rPr>
        <w:t xml:space="preserve">on the quality feedback that they provide to their peers. </w:t>
      </w:r>
      <w:r w:rsidR="00513CF0" w:rsidRPr="00D77AB8">
        <w:rPr>
          <w:rFonts w:cs="Times New Roman"/>
          <w:szCs w:val="24"/>
        </w:rPr>
        <w:t xml:space="preserve">Students were tasked with the </w:t>
      </w:r>
      <w:r w:rsidRPr="00D77AB8">
        <w:rPr>
          <w:rFonts w:cs="Times New Roman"/>
          <w:szCs w:val="24"/>
        </w:rPr>
        <w:t xml:space="preserve">responsibility to help their peers understand the strengths and limitations of their teamwork behaviours. Hence, this increases the responsibilities and autonomy of each team member to help their peers develop and improve their teamwork skills and experience. </w:t>
      </w:r>
      <w:r w:rsidR="00DE0412">
        <w:rPr>
          <w:rFonts w:cs="Times New Roman"/>
          <w:szCs w:val="24"/>
        </w:rPr>
        <w:t>T</w:t>
      </w:r>
      <w:r w:rsidRPr="00D77AB8">
        <w:rPr>
          <w:rFonts w:cs="Times New Roman"/>
          <w:szCs w:val="24"/>
        </w:rPr>
        <w:t>his also increase</w:t>
      </w:r>
      <w:r w:rsidR="00210AB5" w:rsidRPr="00D77AB8">
        <w:rPr>
          <w:rFonts w:cs="Times New Roman"/>
          <w:szCs w:val="24"/>
        </w:rPr>
        <w:t>s</w:t>
      </w:r>
      <w:r w:rsidRPr="00D77AB8">
        <w:rPr>
          <w:rFonts w:cs="Times New Roman"/>
          <w:szCs w:val="24"/>
        </w:rPr>
        <w:t xml:space="preserve"> students’ autonomy and freedom to determine the focus of how they would like to improve their teamwork skills and experience. This means that each </w:t>
      </w:r>
      <w:r w:rsidR="00290AE2">
        <w:rPr>
          <w:rFonts w:cs="Times New Roman"/>
          <w:szCs w:val="24"/>
        </w:rPr>
        <w:t>student</w:t>
      </w:r>
      <w:r w:rsidRPr="00D77AB8">
        <w:rPr>
          <w:rFonts w:cs="Times New Roman"/>
          <w:szCs w:val="24"/>
        </w:rPr>
        <w:t xml:space="preserve"> assess</w:t>
      </w:r>
      <w:r w:rsidR="00290AE2">
        <w:rPr>
          <w:rFonts w:cs="Times New Roman"/>
          <w:szCs w:val="24"/>
        </w:rPr>
        <w:t>es</w:t>
      </w:r>
      <w:r w:rsidRPr="00D77AB8">
        <w:rPr>
          <w:rFonts w:cs="Times New Roman"/>
          <w:szCs w:val="24"/>
        </w:rPr>
        <w:t xml:space="preserve"> and decide</w:t>
      </w:r>
      <w:r w:rsidR="00290AE2">
        <w:rPr>
          <w:rFonts w:cs="Times New Roman"/>
          <w:szCs w:val="24"/>
        </w:rPr>
        <w:t>s</w:t>
      </w:r>
      <w:r w:rsidRPr="00D77AB8">
        <w:rPr>
          <w:rFonts w:cs="Times New Roman"/>
          <w:szCs w:val="24"/>
        </w:rPr>
        <w:t xml:space="preserve"> how they would like </w:t>
      </w:r>
      <w:r w:rsidR="00290AE2">
        <w:rPr>
          <w:rFonts w:cs="Times New Roman"/>
          <w:szCs w:val="24"/>
        </w:rPr>
        <w:t>each</w:t>
      </w:r>
      <w:r w:rsidR="00290AE2" w:rsidRPr="00D77AB8">
        <w:rPr>
          <w:rFonts w:cs="Times New Roman"/>
          <w:szCs w:val="24"/>
        </w:rPr>
        <w:t xml:space="preserve"> </w:t>
      </w:r>
      <w:r w:rsidRPr="00D77AB8">
        <w:rPr>
          <w:rFonts w:cs="Times New Roman"/>
          <w:szCs w:val="24"/>
        </w:rPr>
        <w:t>team member to demonstrate good teamwork skills</w:t>
      </w:r>
      <w:r w:rsidR="00290AE2">
        <w:rPr>
          <w:rFonts w:cs="Times New Roman"/>
          <w:szCs w:val="24"/>
        </w:rPr>
        <w:t>,</w:t>
      </w:r>
      <w:r w:rsidRPr="00D77AB8">
        <w:rPr>
          <w:rFonts w:cs="Times New Roman"/>
          <w:szCs w:val="24"/>
        </w:rPr>
        <w:t xml:space="preserve"> suggesting specific ways  </w:t>
      </w:r>
      <w:r w:rsidR="00290AE2">
        <w:rPr>
          <w:rFonts w:cs="Times New Roman"/>
          <w:szCs w:val="24"/>
        </w:rPr>
        <w:t>that each member</w:t>
      </w:r>
      <w:r w:rsidRPr="00D77AB8">
        <w:rPr>
          <w:rFonts w:cs="Times New Roman"/>
          <w:szCs w:val="24"/>
        </w:rPr>
        <w:t xml:space="preserve"> can improve aspects of less favourable teamwork behaviours. In addition, a double-loop learning design (Argyris, 2002) is used to </w:t>
      </w:r>
      <w:r w:rsidR="005F7274" w:rsidRPr="00D77AB8">
        <w:rPr>
          <w:rFonts w:cs="Times New Roman"/>
          <w:szCs w:val="24"/>
        </w:rPr>
        <w:t>allow</w:t>
      </w:r>
      <w:r w:rsidRPr="00D77AB8">
        <w:rPr>
          <w:rFonts w:cs="Times New Roman"/>
          <w:szCs w:val="24"/>
        </w:rPr>
        <w:t xml:space="preserve"> students the opportunity to engage with peer-feedback in the first loop to improve their teamwork skills and experience for their peers in the second loop when working on their team assignment.</w:t>
      </w:r>
    </w:p>
    <w:p w14:paraId="5733512C" w14:textId="40E6E086" w:rsidR="002526B0" w:rsidRPr="00D77AB8" w:rsidRDefault="002526B0" w:rsidP="002526B0">
      <w:pPr>
        <w:ind w:firstLine="720"/>
        <w:rPr>
          <w:rFonts w:cs="Times New Roman"/>
          <w:szCs w:val="24"/>
        </w:rPr>
      </w:pPr>
      <w:r w:rsidRPr="00D77AB8">
        <w:rPr>
          <w:rFonts w:cs="Times New Roman"/>
          <w:szCs w:val="24"/>
        </w:rPr>
        <w:t xml:space="preserve">Overall, this double-loop pedagogical design and a student-centred approach of involving </w:t>
      </w:r>
      <w:r w:rsidR="003A796F" w:rsidRPr="00D77AB8">
        <w:rPr>
          <w:rFonts w:cs="Times New Roman"/>
          <w:szCs w:val="24"/>
        </w:rPr>
        <w:t xml:space="preserve">UG </w:t>
      </w:r>
      <w:r w:rsidR="00F262A7" w:rsidRPr="00D77AB8">
        <w:rPr>
          <w:rFonts w:cs="Times New Roman"/>
          <w:szCs w:val="24"/>
        </w:rPr>
        <w:t xml:space="preserve">and PG </w:t>
      </w:r>
      <w:r w:rsidRPr="00D77AB8">
        <w:rPr>
          <w:rFonts w:cs="Times New Roman"/>
          <w:szCs w:val="24"/>
        </w:rPr>
        <w:t>students</w:t>
      </w:r>
      <w:r w:rsidR="00F262A7" w:rsidRPr="00D77AB8">
        <w:rPr>
          <w:rFonts w:cs="Times New Roman"/>
          <w:szCs w:val="24"/>
        </w:rPr>
        <w:t xml:space="preserve"> (</w:t>
      </w:r>
      <w:r w:rsidR="00C967DE" w:rsidRPr="00D77AB8">
        <w:rPr>
          <w:rFonts w:cs="Times New Roman"/>
          <w:szCs w:val="24"/>
        </w:rPr>
        <w:t>between 60 to 160 students</w:t>
      </w:r>
      <w:r w:rsidR="00F262A7" w:rsidRPr="00D77AB8">
        <w:rPr>
          <w:rFonts w:cs="Times New Roman"/>
          <w:szCs w:val="24"/>
        </w:rPr>
        <w:t xml:space="preserve">) </w:t>
      </w:r>
      <w:r w:rsidRPr="00D77AB8">
        <w:rPr>
          <w:rFonts w:cs="Times New Roman"/>
          <w:szCs w:val="24"/>
        </w:rPr>
        <w:t xml:space="preserve">in crafting constructive feedback </w:t>
      </w:r>
      <w:r w:rsidR="00290AE2">
        <w:rPr>
          <w:rFonts w:cs="Times New Roman"/>
          <w:szCs w:val="24"/>
        </w:rPr>
        <w:t>to improve</w:t>
      </w:r>
      <w:r w:rsidRPr="00D77AB8">
        <w:rPr>
          <w:rFonts w:cs="Times New Roman"/>
          <w:szCs w:val="24"/>
        </w:rPr>
        <w:t xml:space="preserve"> teamworking skills not only creates unique and customised feedback that empowers the team to improve their teamworking experience</w:t>
      </w:r>
      <w:r w:rsidR="00F11BA1" w:rsidRPr="00D77AB8">
        <w:rPr>
          <w:rFonts w:cs="Times New Roman"/>
          <w:szCs w:val="24"/>
        </w:rPr>
        <w:t xml:space="preserve"> but also</w:t>
      </w:r>
      <w:r w:rsidR="0095452C" w:rsidRPr="00D77AB8">
        <w:rPr>
          <w:rFonts w:cs="Times New Roman"/>
          <w:szCs w:val="24"/>
        </w:rPr>
        <w:t xml:space="preserve"> reduces the workload of the coordinator or tutor</w:t>
      </w:r>
      <w:r w:rsidR="00F11BA1" w:rsidRPr="00D77AB8">
        <w:rPr>
          <w:rFonts w:cs="Times New Roman"/>
          <w:szCs w:val="24"/>
        </w:rPr>
        <w:t>.</w:t>
      </w:r>
    </w:p>
    <w:p w14:paraId="56A467A4" w14:textId="1FCE1DE2" w:rsidR="00A1129F" w:rsidRPr="00D77AB8" w:rsidRDefault="002526B0" w:rsidP="00A1129F">
      <w:pPr>
        <w:ind w:firstLine="720"/>
        <w:rPr>
          <w:rFonts w:cs="Times New Roman"/>
          <w:szCs w:val="24"/>
        </w:rPr>
      </w:pPr>
      <w:r w:rsidRPr="00D77AB8">
        <w:rPr>
          <w:rFonts w:cs="Times New Roman"/>
          <w:szCs w:val="24"/>
        </w:rPr>
        <w:t xml:space="preserve">Another exemplar </w:t>
      </w:r>
      <w:r w:rsidR="005F7274" w:rsidRPr="00D77AB8">
        <w:rPr>
          <w:rFonts w:cs="Times New Roman"/>
          <w:szCs w:val="24"/>
        </w:rPr>
        <w:t>of</w:t>
      </w:r>
      <w:r w:rsidRPr="00D77AB8">
        <w:rPr>
          <w:rFonts w:cs="Times New Roman"/>
          <w:szCs w:val="24"/>
        </w:rPr>
        <w:t xml:space="preserve"> our </w:t>
      </w:r>
      <w:proofErr w:type="spellStart"/>
      <w:r w:rsidR="007742E2" w:rsidRPr="00D77AB8">
        <w:rPr>
          <w:rFonts w:cs="Times New Roman"/>
          <w:szCs w:val="24"/>
        </w:rPr>
        <w:t>SaP</w:t>
      </w:r>
      <w:proofErr w:type="spellEnd"/>
      <w:r w:rsidR="007742E2" w:rsidRPr="00D77AB8">
        <w:rPr>
          <w:rFonts w:cs="Times New Roman"/>
          <w:szCs w:val="24"/>
        </w:rPr>
        <w:t xml:space="preserve"> feedback </w:t>
      </w:r>
      <w:r w:rsidRPr="00D77AB8">
        <w:rPr>
          <w:rFonts w:cs="Times New Roman"/>
          <w:szCs w:val="24"/>
        </w:rPr>
        <w:t>practice is the pandemic</w:t>
      </w:r>
      <w:r w:rsidR="0042098C" w:rsidRPr="00D77AB8">
        <w:rPr>
          <w:rFonts w:cs="Times New Roman"/>
          <w:szCs w:val="24"/>
        </w:rPr>
        <w:t>-</w:t>
      </w:r>
      <w:r w:rsidRPr="00D77AB8">
        <w:rPr>
          <w:rFonts w:cs="Times New Roman"/>
          <w:szCs w:val="24"/>
        </w:rPr>
        <w:t>inspired gamification of peer feedback “Feedback hugs”</w:t>
      </w:r>
      <w:r w:rsidR="003A796F" w:rsidRPr="00D77AB8">
        <w:rPr>
          <w:rFonts w:cs="Times New Roman"/>
          <w:szCs w:val="24"/>
        </w:rPr>
        <w:t xml:space="preserve"> in UG and PG courses </w:t>
      </w:r>
      <w:r w:rsidR="00F262A7" w:rsidRPr="00D77AB8">
        <w:rPr>
          <w:rFonts w:cs="Times New Roman"/>
          <w:szCs w:val="24"/>
        </w:rPr>
        <w:t>(up to</w:t>
      </w:r>
      <w:r w:rsidR="003A796F" w:rsidRPr="00D77AB8">
        <w:rPr>
          <w:rFonts w:cs="Times New Roman"/>
          <w:szCs w:val="24"/>
        </w:rPr>
        <w:t xml:space="preserve"> 160 students each</w:t>
      </w:r>
      <w:r w:rsidR="00F262A7" w:rsidRPr="00D77AB8">
        <w:rPr>
          <w:rFonts w:cs="Times New Roman"/>
          <w:szCs w:val="24"/>
        </w:rPr>
        <w:t>)</w:t>
      </w:r>
      <w:r w:rsidR="00290AE2">
        <w:rPr>
          <w:rFonts w:cs="Times New Roman"/>
          <w:szCs w:val="24"/>
        </w:rPr>
        <w:t xml:space="preserve">, which </w:t>
      </w:r>
      <w:r w:rsidRPr="00D77AB8">
        <w:rPr>
          <w:rFonts w:cs="Times New Roman"/>
          <w:szCs w:val="24"/>
        </w:rPr>
        <w:t xml:space="preserve">received the Student Relationship Engagement System (SRES) “Relationship rich education” inaugural award (SRES, 2021). Students receive access to the photo-enhanced </w:t>
      </w:r>
      <w:r w:rsidR="00D22086" w:rsidRPr="00D77AB8">
        <w:rPr>
          <w:rFonts w:cs="Times New Roman"/>
          <w:szCs w:val="24"/>
        </w:rPr>
        <w:t xml:space="preserve">online </w:t>
      </w:r>
      <w:r w:rsidRPr="00D77AB8">
        <w:rPr>
          <w:rFonts w:cs="Times New Roman"/>
          <w:szCs w:val="24"/>
        </w:rPr>
        <w:t xml:space="preserve">class lists where they are incentivised by a small portion of participation mark (0.5 points out of 10 possible) to </w:t>
      </w:r>
      <w:r w:rsidR="007A4890" w:rsidRPr="00D77AB8">
        <w:rPr>
          <w:rFonts w:cs="Times New Roman"/>
          <w:szCs w:val="24"/>
        </w:rPr>
        <w:t xml:space="preserve">anonymously </w:t>
      </w:r>
      <w:r w:rsidRPr="00D77AB8">
        <w:rPr>
          <w:rFonts w:cs="Times New Roman"/>
          <w:szCs w:val="24"/>
        </w:rPr>
        <w:t xml:space="preserve">provide weekly appreciative feedback to peers who influenced their learning. The educator monitors the system and </w:t>
      </w:r>
      <w:r w:rsidR="0042098C" w:rsidRPr="00D77AB8">
        <w:rPr>
          <w:rFonts w:cs="Times New Roman"/>
          <w:szCs w:val="24"/>
        </w:rPr>
        <w:t xml:space="preserve">also </w:t>
      </w:r>
      <w:r w:rsidRPr="00D77AB8">
        <w:rPr>
          <w:rFonts w:cs="Times New Roman"/>
          <w:szCs w:val="24"/>
        </w:rPr>
        <w:t xml:space="preserve">provides behavioural feedback to </w:t>
      </w:r>
      <w:r w:rsidRPr="00D77AB8">
        <w:rPr>
          <w:rFonts w:cs="Times New Roman"/>
          <w:szCs w:val="24"/>
        </w:rPr>
        <w:lastRenderedPageBreak/>
        <w:t>students where possible, aiming to a) transform the ‘</w:t>
      </w:r>
      <w:r w:rsidR="001D4C4F" w:rsidRPr="00D77AB8">
        <w:rPr>
          <w:rFonts w:cs="Times New Roman"/>
          <w:szCs w:val="24"/>
        </w:rPr>
        <w:t>Listen to me!’</w:t>
      </w:r>
      <w:r w:rsidRPr="00D77AB8">
        <w:rPr>
          <w:rFonts w:cs="Times New Roman"/>
          <w:szCs w:val="24"/>
        </w:rPr>
        <w:t xml:space="preserve"> behaviour of extrinsically motivated students and </w:t>
      </w:r>
      <w:r w:rsidR="00C94EE0" w:rsidRPr="00D77AB8">
        <w:rPr>
          <w:rFonts w:cs="Times New Roman"/>
          <w:szCs w:val="24"/>
        </w:rPr>
        <w:t>those</w:t>
      </w:r>
      <w:r w:rsidRPr="00D77AB8">
        <w:rPr>
          <w:rFonts w:cs="Times New Roman"/>
          <w:szCs w:val="24"/>
        </w:rPr>
        <w:t xml:space="preserve"> students who cannot tolerate silence and tend to fill every pause with their voice into </w:t>
      </w:r>
      <w:r w:rsidR="00C94EE0" w:rsidRPr="00D77AB8">
        <w:rPr>
          <w:rFonts w:cs="Times New Roman"/>
          <w:szCs w:val="24"/>
        </w:rPr>
        <w:t xml:space="preserve">them saying </w:t>
      </w:r>
      <w:r w:rsidRPr="00D77AB8">
        <w:rPr>
          <w:rFonts w:cs="Times New Roman"/>
          <w:szCs w:val="24"/>
        </w:rPr>
        <w:t>‘</w:t>
      </w:r>
      <w:r w:rsidR="00546D85">
        <w:rPr>
          <w:rFonts w:cs="Times New Roman"/>
          <w:szCs w:val="24"/>
        </w:rPr>
        <w:t>[</w:t>
      </w:r>
      <w:r w:rsidRPr="00D77AB8">
        <w:rPr>
          <w:rFonts w:cs="Times New Roman"/>
          <w:szCs w:val="24"/>
        </w:rPr>
        <w:t>Name</w:t>
      </w:r>
      <w:r w:rsidR="00546D85">
        <w:rPr>
          <w:rFonts w:cs="Times New Roman"/>
          <w:szCs w:val="24"/>
        </w:rPr>
        <w:t>]</w:t>
      </w:r>
      <w:r w:rsidRPr="00D77AB8">
        <w:rPr>
          <w:rFonts w:cs="Times New Roman"/>
          <w:szCs w:val="24"/>
        </w:rPr>
        <w:t xml:space="preserve">, you made a good point during our small group discussion, would you like to share it with the class?’ and b) cheer up shy contributors. When individualistic high achievers realise that </w:t>
      </w:r>
      <w:r w:rsidR="00290AE2">
        <w:rPr>
          <w:rFonts w:cs="Times New Roman"/>
          <w:szCs w:val="24"/>
        </w:rPr>
        <w:t>a</w:t>
      </w:r>
      <w:r w:rsidRPr="00D77AB8">
        <w:rPr>
          <w:rFonts w:cs="Times New Roman"/>
          <w:szCs w:val="24"/>
        </w:rPr>
        <w:t xml:space="preserve"> </w:t>
      </w:r>
      <w:r w:rsidR="00D22086" w:rsidRPr="00D77AB8">
        <w:rPr>
          <w:rFonts w:cs="Times New Roman"/>
          <w:szCs w:val="24"/>
        </w:rPr>
        <w:t xml:space="preserve">High Distinction </w:t>
      </w:r>
      <w:r w:rsidR="00290AE2">
        <w:rPr>
          <w:rFonts w:cs="Times New Roman"/>
          <w:szCs w:val="24"/>
        </w:rPr>
        <w:t xml:space="preserve">for </w:t>
      </w:r>
      <w:r w:rsidR="00D22086" w:rsidRPr="00D77AB8">
        <w:rPr>
          <w:rFonts w:cs="Times New Roman"/>
          <w:szCs w:val="24"/>
        </w:rPr>
        <w:t>participation</w:t>
      </w:r>
      <w:r w:rsidRPr="00D77AB8">
        <w:rPr>
          <w:rFonts w:cs="Times New Roman"/>
          <w:szCs w:val="24"/>
        </w:rPr>
        <w:t xml:space="preserve"> in this class </w:t>
      </w:r>
      <w:r w:rsidR="00290AE2">
        <w:rPr>
          <w:rFonts w:cs="Times New Roman"/>
          <w:szCs w:val="24"/>
        </w:rPr>
        <w:t xml:space="preserve"> requires</w:t>
      </w:r>
      <w:r w:rsidRPr="00D77AB8">
        <w:rPr>
          <w:rFonts w:cs="Times New Roman"/>
          <w:szCs w:val="24"/>
        </w:rPr>
        <w:t xml:space="preserve"> helping others succeed, they are willing to go above and beyond to engage their peers. It creates a support network and builds psychological safety in classes, develops a higher degree of self-efficacy for everyone involved (Bandura, 1977)</w:t>
      </w:r>
      <w:r w:rsidR="00290AE2">
        <w:rPr>
          <w:rFonts w:cs="Times New Roman"/>
          <w:szCs w:val="24"/>
        </w:rPr>
        <w:t>,</w:t>
      </w:r>
      <w:r w:rsidRPr="00D77AB8">
        <w:rPr>
          <w:rFonts w:cs="Times New Roman"/>
          <w:szCs w:val="24"/>
        </w:rPr>
        <w:t xml:space="preserve"> and gently evolves students’ employability skills. It also makes classes engaging, insightful and inclusive, allowing </w:t>
      </w:r>
      <w:r w:rsidR="006823FB" w:rsidRPr="00D77AB8">
        <w:rPr>
          <w:rFonts w:cs="Times New Roman"/>
          <w:szCs w:val="24"/>
        </w:rPr>
        <w:t xml:space="preserve">students </w:t>
      </w:r>
      <w:r w:rsidRPr="00D77AB8">
        <w:rPr>
          <w:rFonts w:cs="Times New Roman"/>
          <w:szCs w:val="24"/>
        </w:rPr>
        <w:t>to form long-lasting connections and friendships even when studying remotely. Additionally</w:t>
      </w:r>
      <w:r w:rsidR="00290AE2">
        <w:rPr>
          <w:rFonts w:cs="Times New Roman"/>
          <w:szCs w:val="24"/>
        </w:rPr>
        <w:t>,</w:t>
      </w:r>
      <w:r w:rsidRPr="00D77AB8">
        <w:rPr>
          <w:rFonts w:cs="Times New Roman"/>
          <w:szCs w:val="24"/>
        </w:rPr>
        <w:t xml:space="preserve"> tasking students to reflect on the feedback (or lack thereof), the educator perpetuates a semester-long action learning cycle that helps students develop a lifelong learner mindset (Yeganeh &amp; Kolb, 2012). Evidence from students’ exit interviews showed that this behaviour </w:t>
      </w:r>
      <w:r w:rsidR="0042098C" w:rsidRPr="00D77AB8">
        <w:rPr>
          <w:rFonts w:cs="Times New Roman"/>
          <w:szCs w:val="24"/>
        </w:rPr>
        <w:t xml:space="preserve">change </w:t>
      </w:r>
      <w:r w:rsidRPr="00D77AB8">
        <w:rPr>
          <w:rFonts w:cs="Times New Roman"/>
          <w:szCs w:val="24"/>
        </w:rPr>
        <w:t>extends beyond the current classroom into the rest of their university teamwork and workplace communication. According to students’ testimonials during international educational events 0</w:t>
      </w:r>
      <w:r w:rsidR="00290AE2">
        <w:rPr>
          <w:rFonts w:cs="Times New Roman"/>
          <w:szCs w:val="24"/>
        </w:rPr>
        <w:t>.</w:t>
      </w:r>
      <w:r w:rsidRPr="00D77AB8">
        <w:rPr>
          <w:rFonts w:cs="Times New Roman"/>
          <w:szCs w:val="24"/>
        </w:rPr>
        <w:t xml:space="preserve">5 </w:t>
      </w:r>
      <w:r w:rsidR="00153F28">
        <w:rPr>
          <w:rFonts w:cs="Times New Roman"/>
          <w:szCs w:val="24"/>
        </w:rPr>
        <w:t>to</w:t>
      </w:r>
      <w:r w:rsidRPr="00D77AB8">
        <w:rPr>
          <w:rFonts w:cs="Times New Roman"/>
          <w:szCs w:val="24"/>
        </w:rPr>
        <w:t>1</w:t>
      </w:r>
      <w:r w:rsidR="00290AE2">
        <w:rPr>
          <w:rFonts w:cs="Times New Roman"/>
          <w:szCs w:val="24"/>
        </w:rPr>
        <w:t>.</w:t>
      </w:r>
      <w:r w:rsidRPr="00D77AB8">
        <w:rPr>
          <w:rFonts w:cs="Times New Roman"/>
          <w:szCs w:val="24"/>
        </w:rPr>
        <w:t xml:space="preserve">5 years after the semester, peer feedback became an insightful reality check as it allowed </w:t>
      </w:r>
      <w:r w:rsidR="0042098C" w:rsidRPr="00D77AB8">
        <w:rPr>
          <w:rFonts w:cs="Times New Roman"/>
          <w:szCs w:val="24"/>
        </w:rPr>
        <w:t xml:space="preserve">them </w:t>
      </w:r>
      <w:r w:rsidRPr="00D77AB8">
        <w:rPr>
          <w:rFonts w:cs="Times New Roman"/>
          <w:szCs w:val="24"/>
        </w:rPr>
        <w:t xml:space="preserve">to see if their contribution had </w:t>
      </w:r>
      <w:r w:rsidR="0042098C" w:rsidRPr="00D77AB8">
        <w:rPr>
          <w:rFonts w:cs="Times New Roman"/>
          <w:szCs w:val="24"/>
        </w:rPr>
        <w:t xml:space="preserve">an </w:t>
      </w:r>
      <w:r w:rsidRPr="00D77AB8">
        <w:rPr>
          <w:rFonts w:cs="Times New Roman"/>
          <w:szCs w:val="24"/>
        </w:rPr>
        <w:t>impact on others (</w:t>
      </w:r>
      <w:r w:rsidR="00787A20" w:rsidRPr="00D77AB8">
        <w:rPr>
          <w:rFonts w:cs="Times New Roman"/>
          <w:szCs w:val="24"/>
        </w:rPr>
        <w:t>Ishkova, 2022</w:t>
      </w:r>
      <w:r w:rsidRPr="00D77AB8">
        <w:rPr>
          <w:rFonts w:cs="Times New Roman"/>
          <w:szCs w:val="24"/>
        </w:rPr>
        <w:t>).</w:t>
      </w:r>
    </w:p>
    <w:p w14:paraId="3E659C01" w14:textId="031EBF1E" w:rsidR="00A365E2" w:rsidRPr="00D77AB8" w:rsidRDefault="00A365E2" w:rsidP="00D77AB8">
      <w:pPr>
        <w:ind w:firstLine="720"/>
        <w:rPr>
          <w:rFonts w:cs="Times New Roman"/>
          <w:szCs w:val="24"/>
        </w:rPr>
      </w:pPr>
      <w:r w:rsidRPr="00D77AB8">
        <w:rPr>
          <w:rFonts w:cs="Times New Roman"/>
          <w:szCs w:val="24"/>
        </w:rPr>
        <w:t xml:space="preserve">In considering the advantages a </w:t>
      </w:r>
      <w:proofErr w:type="spellStart"/>
      <w:r w:rsidRPr="00D77AB8">
        <w:rPr>
          <w:rFonts w:cs="Times New Roman"/>
          <w:szCs w:val="24"/>
        </w:rPr>
        <w:t>SaP</w:t>
      </w:r>
      <w:proofErr w:type="spellEnd"/>
      <w:r w:rsidRPr="00D77AB8">
        <w:rPr>
          <w:rFonts w:cs="Times New Roman"/>
          <w:szCs w:val="24"/>
        </w:rPr>
        <w:t xml:space="preserve"> approach offers, optimising </w:t>
      </w:r>
      <w:r w:rsidR="00FF0702" w:rsidRPr="00D77AB8">
        <w:rPr>
          <w:rFonts w:cs="Times New Roman"/>
          <w:szCs w:val="24"/>
        </w:rPr>
        <w:t>its adoption</w:t>
      </w:r>
      <w:r w:rsidRPr="00D77AB8">
        <w:rPr>
          <w:rFonts w:cs="Times New Roman"/>
          <w:szCs w:val="24"/>
        </w:rPr>
        <w:t xml:space="preserve"> across faculty is paramount.</w:t>
      </w:r>
      <w:r w:rsidR="00360051" w:rsidRPr="00D77AB8">
        <w:rPr>
          <w:rFonts w:cs="Times New Roman"/>
          <w:szCs w:val="24"/>
        </w:rPr>
        <w:t xml:space="preserve"> </w:t>
      </w:r>
      <w:r w:rsidRPr="00D77AB8">
        <w:rPr>
          <w:rFonts w:cs="Times New Roman"/>
          <w:szCs w:val="24"/>
        </w:rPr>
        <w:t xml:space="preserve">But how do we pragmatically lead the adoption of this innovation across our academic cohort? There will always be academics with a variety of motivations </w:t>
      </w:r>
      <w:r w:rsidR="00C967DE" w:rsidRPr="00D77AB8">
        <w:rPr>
          <w:rFonts w:cs="Times New Roman"/>
          <w:szCs w:val="24"/>
        </w:rPr>
        <w:t xml:space="preserve">and creative </w:t>
      </w:r>
      <w:proofErr w:type="gramStart"/>
      <w:r w:rsidR="00C967DE" w:rsidRPr="00D77AB8">
        <w:rPr>
          <w:rFonts w:cs="Times New Roman"/>
          <w:szCs w:val="24"/>
        </w:rPr>
        <w:t>innovations</w:t>
      </w:r>
      <w:proofErr w:type="gramEnd"/>
      <w:r w:rsidR="00C967DE" w:rsidRPr="00D77AB8">
        <w:rPr>
          <w:rFonts w:cs="Times New Roman"/>
          <w:szCs w:val="24"/>
        </w:rPr>
        <w:t xml:space="preserve"> </w:t>
      </w:r>
      <w:r w:rsidR="0042098C" w:rsidRPr="00D77AB8">
        <w:rPr>
          <w:rFonts w:cs="Times New Roman"/>
          <w:szCs w:val="24"/>
        </w:rPr>
        <w:t>but</w:t>
      </w:r>
      <w:r w:rsidR="00C967DE" w:rsidRPr="00D77AB8">
        <w:rPr>
          <w:rFonts w:cs="Times New Roman"/>
          <w:szCs w:val="24"/>
        </w:rPr>
        <w:t xml:space="preserve"> </w:t>
      </w:r>
      <w:proofErr w:type="spellStart"/>
      <w:r w:rsidR="00C967DE" w:rsidRPr="00D77AB8">
        <w:rPr>
          <w:rFonts w:cs="Times New Roman"/>
          <w:szCs w:val="24"/>
        </w:rPr>
        <w:t>SaP</w:t>
      </w:r>
      <w:proofErr w:type="spellEnd"/>
      <w:r w:rsidR="00C967DE" w:rsidRPr="00D77AB8">
        <w:rPr>
          <w:rFonts w:cs="Times New Roman"/>
          <w:szCs w:val="24"/>
        </w:rPr>
        <w:t xml:space="preserve"> may not be for</w:t>
      </w:r>
      <w:r w:rsidR="0042098C" w:rsidRPr="00D77AB8">
        <w:rPr>
          <w:rFonts w:cs="Times New Roman"/>
          <w:szCs w:val="24"/>
        </w:rPr>
        <w:t xml:space="preserve"> </w:t>
      </w:r>
      <w:r w:rsidR="00A73BCE" w:rsidRPr="00D77AB8">
        <w:rPr>
          <w:rFonts w:cs="Times New Roman"/>
          <w:szCs w:val="24"/>
        </w:rPr>
        <w:t>everyone.</w:t>
      </w:r>
      <w:r w:rsidRPr="00D77AB8">
        <w:rPr>
          <w:rFonts w:cs="Times New Roman"/>
          <w:szCs w:val="24"/>
        </w:rPr>
        <w:t> </w:t>
      </w:r>
      <w:r w:rsidR="00C967DE" w:rsidRPr="00D77AB8">
        <w:rPr>
          <w:rFonts w:cs="Times New Roman"/>
          <w:szCs w:val="24"/>
        </w:rPr>
        <w:t>In addition, a</w:t>
      </w:r>
      <w:r w:rsidRPr="00D77AB8">
        <w:rPr>
          <w:rFonts w:cs="Times New Roman"/>
          <w:szCs w:val="24"/>
        </w:rPr>
        <w:t>doption of innovations can take time to upskill</w:t>
      </w:r>
      <w:r w:rsidR="00C967DE" w:rsidRPr="00D77AB8">
        <w:rPr>
          <w:rFonts w:cs="Times New Roman"/>
          <w:szCs w:val="24"/>
        </w:rPr>
        <w:t xml:space="preserve">. Hence, this can be </w:t>
      </w:r>
      <w:r w:rsidR="0042098C" w:rsidRPr="00D77AB8">
        <w:rPr>
          <w:rFonts w:cs="Times New Roman"/>
          <w:szCs w:val="24"/>
        </w:rPr>
        <w:t>seen by some</w:t>
      </w:r>
      <w:r w:rsidR="00C967DE" w:rsidRPr="00D77AB8">
        <w:rPr>
          <w:rFonts w:cs="Times New Roman"/>
          <w:szCs w:val="24"/>
        </w:rPr>
        <w:t xml:space="preserve"> as another ‘fad’ that is </w:t>
      </w:r>
      <w:r w:rsidRPr="00D77AB8">
        <w:rPr>
          <w:rFonts w:cs="Times New Roman"/>
          <w:szCs w:val="24"/>
        </w:rPr>
        <w:t xml:space="preserve">‘taking time away from my research’. </w:t>
      </w:r>
      <w:r w:rsidR="0042098C" w:rsidRPr="00D77AB8">
        <w:rPr>
          <w:rFonts w:cs="Times New Roman"/>
          <w:szCs w:val="24"/>
        </w:rPr>
        <w:t xml:space="preserve">To </w:t>
      </w:r>
      <w:r w:rsidRPr="00D77AB8">
        <w:rPr>
          <w:rFonts w:cs="Times New Roman"/>
          <w:szCs w:val="24"/>
        </w:rPr>
        <w:t>conclu</w:t>
      </w:r>
      <w:r w:rsidR="0042098C" w:rsidRPr="00D77AB8">
        <w:rPr>
          <w:rFonts w:cs="Times New Roman"/>
          <w:szCs w:val="24"/>
        </w:rPr>
        <w:t>de</w:t>
      </w:r>
      <w:r w:rsidRPr="00D77AB8">
        <w:rPr>
          <w:rFonts w:cs="Times New Roman"/>
          <w:szCs w:val="24"/>
        </w:rPr>
        <w:t xml:space="preserve"> this session, we will explore the ‘osmotic’ </w:t>
      </w:r>
      <w:r w:rsidRPr="00D77AB8">
        <w:rPr>
          <w:rFonts w:cs="Times New Roman"/>
          <w:szCs w:val="24"/>
        </w:rPr>
        <w:lastRenderedPageBreak/>
        <w:t>approaches to the adoption of new innovations,</w:t>
      </w:r>
      <w:r w:rsidR="00C967DE" w:rsidRPr="00D77AB8">
        <w:rPr>
          <w:rFonts w:cs="Times New Roman"/>
          <w:szCs w:val="24"/>
        </w:rPr>
        <w:t xml:space="preserve"> </w:t>
      </w:r>
      <w:r w:rsidRPr="00D77AB8">
        <w:rPr>
          <w:rFonts w:cs="Times New Roman"/>
          <w:szCs w:val="24"/>
        </w:rPr>
        <w:t>that can be more attractive to reticent faculty members</w:t>
      </w:r>
      <w:r w:rsidR="00C967DE" w:rsidRPr="00D77AB8">
        <w:rPr>
          <w:rFonts w:cs="Times New Roman"/>
          <w:szCs w:val="24"/>
        </w:rPr>
        <w:t xml:space="preserve">, such as </w:t>
      </w:r>
      <w:r w:rsidRPr="00D77AB8">
        <w:rPr>
          <w:rFonts w:cs="Times New Roman"/>
          <w:szCs w:val="24"/>
        </w:rPr>
        <w:t>Communities of Practice, Co-</w:t>
      </w:r>
      <w:proofErr w:type="gramStart"/>
      <w:r w:rsidRPr="00D77AB8">
        <w:rPr>
          <w:rFonts w:cs="Times New Roman"/>
          <w:szCs w:val="24"/>
        </w:rPr>
        <w:t>teaching</w:t>
      </w:r>
      <w:proofErr w:type="gramEnd"/>
      <w:r w:rsidRPr="00D77AB8">
        <w:rPr>
          <w:rFonts w:cs="Times New Roman"/>
          <w:szCs w:val="24"/>
        </w:rPr>
        <w:t xml:space="preserve"> and team teaching</w:t>
      </w:r>
      <w:r w:rsidR="00C97BE7" w:rsidRPr="00D77AB8">
        <w:rPr>
          <w:rFonts w:cs="Times New Roman"/>
          <w:szCs w:val="24"/>
        </w:rPr>
        <w:t>.</w:t>
      </w:r>
    </w:p>
    <w:p w14:paraId="781389CF" w14:textId="223F728F" w:rsidR="00B75CEC" w:rsidRPr="00D77AB8" w:rsidRDefault="00B75CEC" w:rsidP="00A365E2">
      <w:pPr>
        <w:rPr>
          <w:rFonts w:cs="Times New Roman"/>
          <w:b/>
          <w:bCs/>
          <w:szCs w:val="24"/>
        </w:rPr>
      </w:pPr>
      <w:r w:rsidRPr="00D77AB8">
        <w:rPr>
          <w:rFonts w:cs="Times New Roman"/>
          <w:b/>
          <w:bCs/>
          <w:szCs w:val="24"/>
        </w:rPr>
        <w:t>Agenda:</w:t>
      </w:r>
    </w:p>
    <w:tbl>
      <w:tblPr>
        <w:tblStyle w:val="TableGrid"/>
        <w:tblW w:w="0" w:type="auto"/>
        <w:tblLook w:val="04A0" w:firstRow="1" w:lastRow="0" w:firstColumn="1" w:lastColumn="0" w:noHBand="0" w:noVBand="1"/>
      </w:tblPr>
      <w:tblGrid>
        <w:gridCol w:w="2689"/>
        <w:gridCol w:w="4961"/>
        <w:gridCol w:w="1366"/>
      </w:tblGrid>
      <w:tr w:rsidR="009A7962" w:rsidRPr="009A7962" w14:paraId="5417292A" w14:textId="77777777" w:rsidTr="0068004A">
        <w:tc>
          <w:tcPr>
            <w:tcW w:w="2689" w:type="dxa"/>
          </w:tcPr>
          <w:p w14:paraId="76A6A321" w14:textId="41CE5807" w:rsidR="00722DE8" w:rsidRPr="00D77AB8" w:rsidRDefault="00722DE8" w:rsidP="00A365E2">
            <w:pPr>
              <w:rPr>
                <w:rFonts w:cs="Times New Roman"/>
                <w:b/>
                <w:bCs/>
                <w:szCs w:val="24"/>
              </w:rPr>
            </w:pPr>
            <w:r w:rsidRPr="00D77AB8">
              <w:rPr>
                <w:rFonts w:cs="Times New Roman"/>
                <w:b/>
                <w:bCs/>
                <w:szCs w:val="24"/>
              </w:rPr>
              <w:t>What is happening</w:t>
            </w:r>
          </w:p>
        </w:tc>
        <w:tc>
          <w:tcPr>
            <w:tcW w:w="4961" w:type="dxa"/>
          </w:tcPr>
          <w:p w14:paraId="71CD23CB" w14:textId="2719540F" w:rsidR="00722DE8" w:rsidRPr="00D77AB8" w:rsidRDefault="00722DE8" w:rsidP="00A365E2">
            <w:pPr>
              <w:rPr>
                <w:rFonts w:cs="Times New Roman"/>
                <w:b/>
                <w:bCs/>
                <w:szCs w:val="24"/>
              </w:rPr>
            </w:pPr>
            <w:r w:rsidRPr="00D77AB8">
              <w:rPr>
                <w:rFonts w:cs="Times New Roman"/>
                <w:b/>
                <w:bCs/>
                <w:szCs w:val="24"/>
              </w:rPr>
              <w:t>Who is involved</w:t>
            </w:r>
          </w:p>
        </w:tc>
        <w:tc>
          <w:tcPr>
            <w:tcW w:w="1366" w:type="dxa"/>
          </w:tcPr>
          <w:p w14:paraId="65E317DB" w14:textId="2214F398" w:rsidR="00722DE8" w:rsidRPr="00D77AB8" w:rsidRDefault="00722DE8" w:rsidP="00A365E2">
            <w:pPr>
              <w:rPr>
                <w:rFonts w:cs="Times New Roman"/>
                <w:b/>
                <w:bCs/>
                <w:szCs w:val="24"/>
              </w:rPr>
            </w:pPr>
            <w:r w:rsidRPr="00D77AB8">
              <w:rPr>
                <w:rFonts w:cs="Times New Roman"/>
                <w:b/>
                <w:bCs/>
                <w:szCs w:val="24"/>
              </w:rPr>
              <w:t>How long</w:t>
            </w:r>
          </w:p>
        </w:tc>
      </w:tr>
      <w:tr w:rsidR="009A7962" w:rsidRPr="009A7962" w14:paraId="76115201" w14:textId="77777777" w:rsidTr="0068004A">
        <w:tc>
          <w:tcPr>
            <w:tcW w:w="2689" w:type="dxa"/>
          </w:tcPr>
          <w:p w14:paraId="44252015" w14:textId="19982E13" w:rsidR="00B75CEC" w:rsidRPr="00D77AB8" w:rsidRDefault="00475459" w:rsidP="00A365E2">
            <w:pPr>
              <w:rPr>
                <w:rFonts w:cs="Times New Roman"/>
                <w:szCs w:val="24"/>
              </w:rPr>
            </w:pPr>
            <w:proofErr w:type="spellStart"/>
            <w:r w:rsidRPr="00D77AB8">
              <w:rPr>
                <w:rFonts w:cs="Times New Roman"/>
                <w:szCs w:val="24"/>
              </w:rPr>
              <w:t>SaP</w:t>
            </w:r>
            <w:proofErr w:type="spellEnd"/>
            <w:r w:rsidRPr="00D77AB8">
              <w:rPr>
                <w:rFonts w:cs="Times New Roman"/>
                <w:szCs w:val="24"/>
              </w:rPr>
              <w:t xml:space="preserve"> Academic Discourse</w:t>
            </w:r>
            <w:r w:rsidR="00B75CEC" w:rsidRPr="00D77AB8">
              <w:rPr>
                <w:rFonts w:cs="Times New Roman"/>
                <w:szCs w:val="24"/>
              </w:rPr>
              <w:t xml:space="preserve"> </w:t>
            </w:r>
          </w:p>
        </w:tc>
        <w:tc>
          <w:tcPr>
            <w:tcW w:w="4961" w:type="dxa"/>
          </w:tcPr>
          <w:p w14:paraId="5F4C8DB5" w14:textId="7E2C497E" w:rsidR="00B75CEC" w:rsidRPr="00D77AB8" w:rsidRDefault="00475459" w:rsidP="00A365E2">
            <w:pPr>
              <w:rPr>
                <w:rFonts w:cs="Times New Roman"/>
                <w:szCs w:val="24"/>
              </w:rPr>
            </w:pPr>
            <w:r w:rsidRPr="00D77AB8">
              <w:rPr>
                <w:rFonts w:cs="Times New Roman"/>
                <w:szCs w:val="24"/>
              </w:rPr>
              <w:t xml:space="preserve">First author </w:t>
            </w:r>
          </w:p>
        </w:tc>
        <w:tc>
          <w:tcPr>
            <w:tcW w:w="1366" w:type="dxa"/>
          </w:tcPr>
          <w:p w14:paraId="16E54EEB" w14:textId="203D8D56" w:rsidR="00B75CEC" w:rsidRPr="00D77AB8" w:rsidRDefault="00B75CEC" w:rsidP="00A365E2">
            <w:pPr>
              <w:rPr>
                <w:rFonts w:cs="Times New Roman"/>
                <w:szCs w:val="24"/>
              </w:rPr>
            </w:pPr>
            <w:r w:rsidRPr="00D77AB8">
              <w:rPr>
                <w:rFonts w:cs="Times New Roman"/>
                <w:szCs w:val="24"/>
              </w:rPr>
              <w:t>5 min</w:t>
            </w:r>
          </w:p>
        </w:tc>
      </w:tr>
      <w:tr w:rsidR="009A7962" w:rsidRPr="009A7962" w14:paraId="3148A040" w14:textId="77777777" w:rsidTr="0068004A">
        <w:tc>
          <w:tcPr>
            <w:tcW w:w="2689" w:type="dxa"/>
          </w:tcPr>
          <w:p w14:paraId="1183D8E4" w14:textId="040C68A1" w:rsidR="00B75CEC" w:rsidRPr="00D77AB8" w:rsidRDefault="00475459" w:rsidP="00A365E2">
            <w:pPr>
              <w:rPr>
                <w:rFonts w:cs="Times New Roman"/>
                <w:szCs w:val="24"/>
              </w:rPr>
            </w:pPr>
            <w:proofErr w:type="spellStart"/>
            <w:r w:rsidRPr="00D77AB8">
              <w:rPr>
                <w:rFonts w:cs="Times New Roman"/>
                <w:szCs w:val="24"/>
              </w:rPr>
              <w:t>SaP</w:t>
            </w:r>
            <w:proofErr w:type="spellEnd"/>
            <w:r w:rsidRPr="00D77AB8">
              <w:rPr>
                <w:rFonts w:cs="Times New Roman"/>
                <w:szCs w:val="24"/>
              </w:rPr>
              <w:t xml:space="preserve"> Successes and Challenges</w:t>
            </w:r>
            <w:r w:rsidR="007850F0" w:rsidRPr="00D77AB8">
              <w:rPr>
                <w:rFonts w:cs="Times New Roman"/>
                <w:szCs w:val="24"/>
              </w:rPr>
              <w:t xml:space="preserve"> </w:t>
            </w:r>
          </w:p>
        </w:tc>
        <w:tc>
          <w:tcPr>
            <w:tcW w:w="4961" w:type="dxa"/>
          </w:tcPr>
          <w:p w14:paraId="0A24654B" w14:textId="41BE3741" w:rsidR="00B75CEC" w:rsidRPr="00D77AB8" w:rsidRDefault="00475459" w:rsidP="00A365E2">
            <w:pPr>
              <w:rPr>
                <w:rFonts w:cs="Times New Roman"/>
                <w:szCs w:val="24"/>
              </w:rPr>
            </w:pPr>
            <w:r w:rsidRPr="00D77AB8">
              <w:rPr>
                <w:rFonts w:cs="Times New Roman"/>
                <w:szCs w:val="24"/>
              </w:rPr>
              <w:t xml:space="preserve">Facilitation session to showcase </w:t>
            </w:r>
            <w:r w:rsidR="009D2677">
              <w:rPr>
                <w:rFonts w:cs="Times New Roman"/>
                <w:szCs w:val="24"/>
              </w:rPr>
              <w:t>some</w:t>
            </w:r>
            <w:r w:rsidRPr="00D77AB8">
              <w:rPr>
                <w:rFonts w:cs="Times New Roman"/>
                <w:szCs w:val="24"/>
              </w:rPr>
              <w:t xml:space="preserve"> </w:t>
            </w:r>
            <w:r w:rsidR="003A796F" w:rsidRPr="00D77AB8">
              <w:rPr>
                <w:rFonts w:cs="Times New Roman"/>
                <w:szCs w:val="24"/>
              </w:rPr>
              <w:t>e</w:t>
            </w:r>
            <w:r w:rsidR="007850F0" w:rsidRPr="00D77AB8">
              <w:rPr>
                <w:rFonts w:cs="Times New Roman"/>
                <w:szCs w:val="24"/>
              </w:rPr>
              <w:t>xamples from co-authors and invited students-partners</w:t>
            </w:r>
          </w:p>
        </w:tc>
        <w:tc>
          <w:tcPr>
            <w:tcW w:w="1366" w:type="dxa"/>
          </w:tcPr>
          <w:p w14:paraId="314EA625" w14:textId="5059BE35" w:rsidR="00B75CEC" w:rsidRPr="00D77AB8" w:rsidRDefault="00855D77" w:rsidP="00A365E2">
            <w:pPr>
              <w:rPr>
                <w:rFonts w:cs="Times New Roman"/>
                <w:szCs w:val="24"/>
              </w:rPr>
            </w:pPr>
            <w:r>
              <w:rPr>
                <w:rFonts w:cs="Times New Roman"/>
                <w:szCs w:val="24"/>
              </w:rPr>
              <w:t>2</w:t>
            </w:r>
            <w:r w:rsidR="00B75CEC" w:rsidRPr="00D77AB8">
              <w:rPr>
                <w:rFonts w:cs="Times New Roman"/>
                <w:szCs w:val="24"/>
              </w:rPr>
              <w:t>0 min</w:t>
            </w:r>
          </w:p>
        </w:tc>
      </w:tr>
      <w:tr w:rsidR="009A7962" w:rsidRPr="009A7962" w14:paraId="563AF4E7" w14:textId="77777777" w:rsidTr="0068004A">
        <w:tc>
          <w:tcPr>
            <w:tcW w:w="2689" w:type="dxa"/>
          </w:tcPr>
          <w:p w14:paraId="4A3883AD" w14:textId="78296260" w:rsidR="00B75CEC" w:rsidRPr="00D77AB8" w:rsidRDefault="00475459" w:rsidP="00A365E2">
            <w:pPr>
              <w:rPr>
                <w:rFonts w:cs="Times New Roman"/>
                <w:szCs w:val="24"/>
              </w:rPr>
            </w:pPr>
            <w:r w:rsidRPr="00D77AB8">
              <w:rPr>
                <w:rFonts w:cs="Times New Roman"/>
                <w:szCs w:val="24"/>
              </w:rPr>
              <w:t>Community of Practice: Ideas from the Attendees</w:t>
            </w:r>
          </w:p>
        </w:tc>
        <w:tc>
          <w:tcPr>
            <w:tcW w:w="4961" w:type="dxa"/>
          </w:tcPr>
          <w:p w14:paraId="7520682C" w14:textId="5232FD43" w:rsidR="00B75CEC" w:rsidRPr="00D77AB8" w:rsidRDefault="00940F4C" w:rsidP="00284881">
            <w:pPr>
              <w:rPr>
                <w:rFonts w:cs="Times New Roman"/>
                <w:szCs w:val="24"/>
              </w:rPr>
            </w:pPr>
            <w:r w:rsidRPr="00D77AB8">
              <w:rPr>
                <w:rFonts w:cs="Times New Roman"/>
                <w:szCs w:val="24"/>
              </w:rPr>
              <w:t>Interactive session</w:t>
            </w:r>
            <w:r w:rsidR="00F26FD0">
              <w:rPr>
                <w:rFonts w:cs="Times New Roman"/>
                <w:szCs w:val="24"/>
              </w:rPr>
              <w:t xml:space="preserve"> with small group discussions. Each group can decide what they would like to discuss. Example topics include </w:t>
            </w:r>
            <w:r w:rsidR="00284881" w:rsidRPr="00284881">
              <w:rPr>
                <w:rFonts w:cs="Times New Roman"/>
                <w:szCs w:val="24"/>
              </w:rPr>
              <w:t>what it means to partner with our students</w:t>
            </w:r>
            <w:r w:rsidR="00284881">
              <w:rPr>
                <w:rFonts w:cs="Times New Roman"/>
                <w:szCs w:val="24"/>
              </w:rPr>
              <w:t>,</w:t>
            </w:r>
            <w:r w:rsidR="00284881" w:rsidRPr="00284881">
              <w:rPr>
                <w:rFonts w:cs="Times New Roman"/>
                <w:szCs w:val="24"/>
              </w:rPr>
              <w:t xml:space="preserve"> challenges in the changing model</w:t>
            </w:r>
            <w:r w:rsidR="00284881">
              <w:rPr>
                <w:rFonts w:cs="Times New Roman"/>
                <w:szCs w:val="24"/>
              </w:rPr>
              <w:t xml:space="preserve">, </w:t>
            </w:r>
            <w:r w:rsidR="005D5547">
              <w:rPr>
                <w:rFonts w:cs="Times New Roman"/>
                <w:szCs w:val="24"/>
              </w:rPr>
              <w:t xml:space="preserve">sharing experiences of </w:t>
            </w:r>
            <w:proofErr w:type="spellStart"/>
            <w:r w:rsidR="005D5547">
              <w:rPr>
                <w:rFonts w:cs="Times New Roman"/>
                <w:szCs w:val="24"/>
              </w:rPr>
              <w:t>SaP</w:t>
            </w:r>
            <w:proofErr w:type="spellEnd"/>
            <w:r w:rsidR="005D5547">
              <w:rPr>
                <w:rFonts w:cs="Times New Roman"/>
                <w:szCs w:val="24"/>
              </w:rPr>
              <w:t xml:space="preserve">, </w:t>
            </w:r>
            <w:r w:rsidR="00F26FD0">
              <w:rPr>
                <w:rFonts w:cs="Times New Roman"/>
                <w:szCs w:val="24"/>
              </w:rPr>
              <w:t xml:space="preserve">or how they might revise their own classes to try a </w:t>
            </w:r>
            <w:proofErr w:type="spellStart"/>
            <w:r w:rsidR="00F26FD0">
              <w:rPr>
                <w:rFonts w:cs="Times New Roman"/>
                <w:szCs w:val="24"/>
              </w:rPr>
              <w:t>SaP</w:t>
            </w:r>
            <w:proofErr w:type="spellEnd"/>
            <w:r w:rsidR="00F26FD0">
              <w:rPr>
                <w:rFonts w:cs="Times New Roman"/>
                <w:szCs w:val="24"/>
              </w:rPr>
              <w:t xml:space="preserve"> experiment</w:t>
            </w:r>
            <w:r w:rsidR="0015542B">
              <w:rPr>
                <w:rFonts w:cs="Times New Roman"/>
                <w:szCs w:val="24"/>
              </w:rPr>
              <w:t>,</w:t>
            </w:r>
            <w:r w:rsidR="00F26FD0">
              <w:rPr>
                <w:rFonts w:cs="Times New Roman"/>
                <w:szCs w:val="24"/>
              </w:rPr>
              <w:t xml:space="preserve"> </w:t>
            </w:r>
            <w:r w:rsidR="0015542B">
              <w:rPr>
                <w:rFonts w:cs="Times New Roman"/>
                <w:szCs w:val="24"/>
              </w:rPr>
              <w:t xml:space="preserve">the potential of </w:t>
            </w:r>
            <w:proofErr w:type="spellStart"/>
            <w:r w:rsidR="0015542B">
              <w:rPr>
                <w:rFonts w:cs="Times New Roman"/>
                <w:szCs w:val="24"/>
              </w:rPr>
              <w:t>SaP</w:t>
            </w:r>
            <w:proofErr w:type="spellEnd"/>
            <w:r w:rsidR="0015542B">
              <w:rPr>
                <w:rFonts w:cs="Times New Roman"/>
                <w:szCs w:val="24"/>
              </w:rPr>
              <w:t xml:space="preserve"> in counteracting academic dishonesty and </w:t>
            </w:r>
            <w:r w:rsidR="0015542B">
              <w:rPr>
                <w:rFonts w:eastAsia="Times New Roman" w:cs="Times New Roman"/>
                <w:szCs w:val="24"/>
              </w:rPr>
              <w:t xml:space="preserve">the disruption </w:t>
            </w:r>
            <w:proofErr w:type="spellStart"/>
            <w:r w:rsidR="0015542B">
              <w:rPr>
                <w:rFonts w:cs="Times New Roman"/>
                <w:szCs w:val="24"/>
              </w:rPr>
              <w:t>ChatGPT</w:t>
            </w:r>
            <w:proofErr w:type="spellEnd"/>
            <w:r w:rsidR="0015542B">
              <w:rPr>
                <w:rFonts w:eastAsia="Times New Roman" w:cs="Times New Roman"/>
                <w:szCs w:val="24"/>
              </w:rPr>
              <w:t xml:space="preserve"> brings to traditional assessments in 2023</w:t>
            </w:r>
            <w:r w:rsidR="0015542B">
              <w:rPr>
                <w:rFonts w:eastAsia="Times New Roman" w:cs="Times New Roman"/>
                <w:szCs w:val="24"/>
              </w:rPr>
              <w:t xml:space="preserve">. </w:t>
            </w:r>
          </w:p>
        </w:tc>
        <w:tc>
          <w:tcPr>
            <w:tcW w:w="1366" w:type="dxa"/>
          </w:tcPr>
          <w:p w14:paraId="77496880" w14:textId="080A7D35" w:rsidR="00B75CEC" w:rsidRPr="00D77AB8" w:rsidRDefault="00F26FD0" w:rsidP="00A365E2">
            <w:pPr>
              <w:rPr>
                <w:rFonts w:cs="Times New Roman"/>
                <w:szCs w:val="24"/>
              </w:rPr>
            </w:pPr>
            <w:r>
              <w:rPr>
                <w:rFonts w:cs="Times New Roman"/>
                <w:szCs w:val="24"/>
              </w:rPr>
              <w:t>2</w:t>
            </w:r>
            <w:r w:rsidR="00B75CEC" w:rsidRPr="00D77AB8">
              <w:rPr>
                <w:rFonts w:cs="Times New Roman"/>
                <w:szCs w:val="24"/>
              </w:rPr>
              <w:t>0 min</w:t>
            </w:r>
          </w:p>
        </w:tc>
      </w:tr>
      <w:tr w:rsidR="009A7962" w:rsidRPr="009A7962" w14:paraId="7C35ED66" w14:textId="77777777" w:rsidTr="0068004A">
        <w:tc>
          <w:tcPr>
            <w:tcW w:w="2689" w:type="dxa"/>
          </w:tcPr>
          <w:p w14:paraId="1E811B43" w14:textId="6F194D40" w:rsidR="00B75CEC" w:rsidRPr="00D77AB8" w:rsidRDefault="00475459" w:rsidP="00A365E2">
            <w:pPr>
              <w:rPr>
                <w:rFonts w:cs="Times New Roman"/>
                <w:szCs w:val="24"/>
              </w:rPr>
            </w:pPr>
            <w:r w:rsidRPr="00D77AB8">
              <w:rPr>
                <w:rFonts w:cs="Times New Roman"/>
                <w:szCs w:val="24"/>
              </w:rPr>
              <w:t>Debrief and Knowledge Sharing</w:t>
            </w:r>
          </w:p>
        </w:tc>
        <w:tc>
          <w:tcPr>
            <w:tcW w:w="4961" w:type="dxa"/>
          </w:tcPr>
          <w:p w14:paraId="59FF9F06" w14:textId="5675BDAA" w:rsidR="00B75CEC" w:rsidRPr="00D77AB8" w:rsidRDefault="00940F4C" w:rsidP="00A365E2">
            <w:pPr>
              <w:rPr>
                <w:rFonts w:cs="Times New Roman"/>
                <w:szCs w:val="24"/>
              </w:rPr>
            </w:pPr>
            <w:r w:rsidRPr="00D77AB8">
              <w:rPr>
                <w:rFonts w:cs="Times New Roman"/>
                <w:szCs w:val="24"/>
              </w:rPr>
              <w:t>Facilitators and a</w:t>
            </w:r>
            <w:r w:rsidR="00722DE8" w:rsidRPr="00D77AB8">
              <w:rPr>
                <w:rFonts w:cs="Times New Roman"/>
                <w:szCs w:val="24"/>
              </w:rPr>
              <w:t xml:space="preserve">ttendees </w:t>
            </w:r>
            <w:r w:rsidR="009D2677">
              <w:rPr>
                <w:rFonts w:cs="Times New Roman"/>
                <w:szCs w:val="24"/>
              </w:rPr>
              <w:t>– one person per group shares the highlights of their group’s discussion.</w:t>
            </w:r>
          </w:p>
        </w:tc>
        <w:tc>
          <w:tcPr>
            <w:tcW w:w="1366" w:type="dxa"/>
          </w:tcPr>
          <w:p w14:paraId="3E84802C" w14:textId="39A3A01E" w:rsidR="00B75CEC" w:rsidRPr="00D77AB8" w:rsidRDefault="00722DE8" w:rsidP="00A365E2">
            <w:pPr>
              <w:rPr>
                <w:rFonts w:cs="Times New Roman"/>
                <w:szCs w:val="24"/>
              </w:rPr>
            </w:pPr>
            <w:r w:rsidRPr="00D77AB8">
              <w:rPr>
                <w:rFonts w:cs="Times New Roman"/>
                <w:szCs w:val="24"/>
              </w:rPr>
              <w:t>20 min</w:t>
            </w:r>
          </w:p>
        </w:tc>
      </w:tr>
      <w:tr w:rsidR="009A7962" w:rsidRPr="009A7962" w14:paraId="0FBF6815" w14:textId="77777777" w:rsidTr="0068004A">
        <w:tc>
          <w:tcPr>
            <w:tcW w:w="2689" w:type="dxa"/>
          </w:tcPr>
          <w:p w14:paraId="3BE164F4" w14:textId="633637FC" w:rsidR="00B75CEC" w:rsidRPr="00D77AB8" w:rsidRDefault="00722DE8" w:rsidP="00A365E2">
            <w:pPr>
              <w:rPr>
                <w:rFonts w:cs="Times New Roman"/>
                <w:szCs w:val="24"/>
              </w:rPr>
            </w:pPr>
            <w:r w:rsidRPr="00D77AB8">
              <w:rPr>
                <w:rFonts w:cs="Times New Roman"/>
                <w:szCs w:val="24"/>
              </w:rPr>
              <w:t>Q&amp;A and Concluding remarks</w:t>
            </w:r>
          </w:p>
        </w:tc>
        <w:tc>
          <w:tcPr>
            <w:tcW w:w="4961" w:type="dxa"/>
          </w:tcPr>
          <w:p w14:paraId="50EACB11" w14:textId="23F8976A" w:rsidR="00B75CEC" w:rsidRPr="00D77AB8" w:rsidRDefault="00940F4C" w:rsidP="00A365E2">
            <w:pPr>
              <w:rPr>
                <w:rFonts w:cs="Times New Roman"/>
                <w:szCs w:val="24"/>
              </w:rPr>
            </w:pPr>
            <w:r w:rsidRPr="00D77AB8">
              <w:rPr>
                <w:rFonts w:cs="Times New Roman"/>
                <w:szCs w:val="24"/>
              </w:rPr>
              <w:t>Facilitators and attendees</w:t>
            </w:r>
          </w:p>
        </w:tc>
        <w:tc>
          <w:tcPr>
            <w:tcW w:w="1366" w:type="dxa"/>
          </w:tcPr>
          <w:p w14:paraId="5A7D30A1" w14:textId="7B13E579" w:rsidR="00B75CEC" w:rsidRPr="00D77AB8" w:rsidRDefault="00722DE8" w:rsidP="00A365E2">
            <w:pPr>
              <w:rPr>
                <w:rFonts w:cs="Times New Roman"/>
                <w:szCs w:val="24"/>
              </w:rPr>
            </w:pPr>
            <w:r w:rsidRPr="00D77AB8">
              <w:rPr>
                <w:rFonts w:cs="Times New Roman"/>
                <w:szCs w:val="24"/>
              </w:rPr>
              <w:t>10 min</w:t>
            </w:r>
          </w:p>
        </w:tc>
      </w:tr>
    </w:tbl>
    <w:p w14:paraId="59910BCB" w14:textId="77777777" w:rsidR="00722DE8" w:rsidRPr="00D77AB8" w:rsidRDefault="00722DE8" w:rsidP="00B75CEC">
      <w:pPr>
        <w:pStyle w:val="m-3974737002415187905msolistparagraph"/>
        <w:spacing w:beforeAutospacing="0" w:after="0" w:afterAutospacing="0" w:line="252" w:lineRule="auto"/>
        <w:rPr>
          <w:rFonts w:ascii="Times New Roman" w:hAnsi="Times New Roman" w:cs="Times New Roman"/>
          <w:sz w:val="24"/>
          <w:szCs w:val="24"/>
          <w:highlight w:val="yellow"/>
        </w:rPr>
      </w:pPr>
    </w:p>
    <w:p w14:paraId="20D8C1F7" w14:textId="61FF065D" w:rsidR="002526B0" w:rsidRPr="009A7962" w:rsidRDefault="002526B0" w:rsidP="00D77AB8">
      <w:pPr>
        <w:spacing w:after="160" w:line="259" w:lineRule="auto"/>
        <w:rPr>
          <w:rFonts w:cs="Times New Roman"/>
          <w:b/>
          <w:bCs/>
          <w:szCs w:val="24"/>
        </w:rPr>
      </w:pPr>
      <w:r w:rsidRPr="009A7962">
        <w:rPr>
          <w:rFonts w:cs="Times New Roman"/>
          <w:b/>
          <w:bCs/>
          <w:szCs w:val="24"/>
        </w:rPr>
        <w:t>References</w:t>
      </w:r>
    </w:p>
    <w:p w14:paraId="6A8B7F78" w14:textId="02D2A1CF" w:rsidR="002526B0" w:rsidRPr="009A7962" w:rsidRDefault="002526B0" w:rsidP="002526B0">
      <w:pPr>
        <w:autoSpaceDE w:val="0"/>
        <w:autoSpaceDN w:val="0"/>
        <w:ind w:hanging="480"/>
        <w:rPr>
          <w:rFonts w:eastAsia="Times New Roman" w:cs="Times New Roman"/>
          <w:szCs w:val="24"/>
        </w:rPr>
      </w:pPr>
      <w:r w:rsidRPr="009A7962">
        <w:rPr>
          <w:rFonts w:eastAsia="Times New Roman" w:cs="Times New Roman"/>
          <w:szCs w:val="24"/>
        </w:rPr>
        <w:t>Argyris, C. (2002). Double-</w:t>
      </w:r>
      <w:r w:rsidR="00126043">
        <w:rPr>
          <w:rFonts w:eastAsia="Times New Roman" w:cs="Times New Roman"/>
          <w:szCs w:val="24"/>
        </w:rPr>
        <w:t>l</w:t>
      </w:r>
      <w:r w:rsidRPr="009A7962">
        <w:rPr>
          <w:rFonts w:eastAsia="Times New Roman" w:cs="Times New Roman"/>
          <w:szCs w:val="24"/>
        </w:rPr>
        <w:t xml:space="preserve">oop </w:t>
      </w:r>
      <w:r w:rsidR="00126043">
        <w:rPr>
          <w:rFonts w:eastAsia="Times New Roman" w:cs="Times New Roman"/>
          <w:szCs w:val="24"/>
        </w:rPr>
        <w:t>l</w:t>
      </w:r>
      <w:r w:rsidRPr="009A7962">
        <w:rPr>
          <w:rFonts w:eastAsia="Times New Roman" w:cs="Times New Roman"/>
          <w:szCs w:val="24"/>
        </w:rPr>
        <w:t xml:space="preserve">earning, </w:t>
      </w:r>
      <w:proofErr w:type="gramStart"/>
      <w:r w:rsidR="00126043">
        <w:rPr>
          <w:rFonts w:eastAsia="Times New Roman" w:cs="Times New Roman"/>
          <w:szCs w:val="24"/>
        </w:rPr>
        <w:t>t</w:t>
      </w:r>
      <w:r w:rsidRPr="009A7962">
        <w:rPr>
          <w:rFonts w:eastAsia="Times New Roman" w:cs="Times New Roman"/>
          <w:szCs w:val="24"/>
        </w:rPr>
        <w:t>eaching</w:t>
      </w:r>
      <w:proofErr w:type="gramEnd"/>
      <w:r w:rsidRPr="009A7962">
        <w:rPr>
          <w:rFonts w:eastAsia="Times New Roman" w:cs="Times New Roman"/>
          <w:szCs w:val="24"/>
        </w:rPr>
        <w:t xml:space="preserve"> and </w:t>
      </w:r>
      <w:r w:rsidR="00126043">
        <w:rPr>
          <w:rFonts w:eastAsia="Times New Roman" w:cs="Times New Roman"/>
          <w:szCs w:val="24"/>
        </w:rPr>
        <w:t>r</w:t>
      </w:r>
      <w:r w:rsidRPr="009A7962">
        <w:rPr>
          <w:rFonts w:eastAsia="Times New Roman" w:cs="Times New Roman"/>
          <w:szCs w:val="24"/>
        </w:rPr>
        <w:t xml:space="preserve">esearch. </w:t>
      </w:r>
      <w:r w:rsidRPr="009A7962">
        <w:rPr>
          <w:rFonts w:eastAsia="Times New Roman" w:cs="Times New Roman"/>
          <w:i/>
          <w:iCs/>
          <w:szCs w:val="24"/>
        </w:rPr>
        <w:t>Academy of Management Learning &amp; Education</w:t>
      </w:r>
      <w:r w:rsidRPr="009A7962">
        <w:rPr>
          <w:rFonts w:eastAsia="Times New Roman" w:cs="Times New Roman"/>
          <w:szCs w:val="24"/>
        </w:rPr>
        <w:t xml:space="preserve">, </w:t>
      </w:r>
      <w:r w:rsidRPr="009A7962">
        <w:rPr>
          <w:rFonts w:eastAsia="Times New Roman" w:cs="Times New Roman"/>
          <w:i/>
          <w:iCs/>
          <w:szCs w:val="24"/>
        </w:rPr>
        <w:t>1</w:t>
      </w:r>
      <w:r w:rsidRPr="009A7962">
        <w:rPr>
          <w:rFonts w:eastAsia="Times New Roman" w:cs="Times New Roman"/>
          <w:szCs w:val="24"/>
        </w:rPr>
        <w:t>(2), 206–218.</w:t>
      </w:r>
    </w:p>
    <w:p w14:paraId="7A30A64C" w14:textId="4B2FC289" w:rsidR="003A43D7" w:rsidRPr="009A7962" w:rsidRDefault="002526B0" w:rsidP="002526B0">
      <w:pPr>
        <w:autoSpaceDE w:val="0"/>
        <w:autoSpaceDN w:val="0"/>
        <w:ind w:hanging="480"/>
        <w:rPr>
          <w:rFonts w:eastAsia="Times New Roman" w:cs="Times New Roman"/>
          <w:szCs w:val="24"/>
        </w:rPr>
      </w:pPr>
      <w:r w:rsidRPr="00D77AB8">
        <w:rPr>
          <w:rFonts w:cs="Times New Roman"/>
          <w:szCs w:val="24"/>
        </w:rPr>
        <w:lastRenderedPageBreak/>
        <w:t xml:space="preserve">Bandura. (1977). Self-efficacy: Toward a unifying theory of </w:t>
      </w:r>
      <w:proofErr w:type="spellStart"/>
      <w:r w:rsidRPr="00D77AB8">
        <w:rPr>
          <w:rFonts w:cs="Times New Roman"/>
          <w:szCs w:val="24"/>
        </w:rPr>
        <w:t>behavioral</w:t>
      </w:r>
      <w:proofErr w:type="spellEnd"/>
      <w:r w:rsidRPr="00D77AB8">
        <w:rPr>
          <w:rFonts w:cs="Times New Roman"/>
          <w:szCs w:val="24"/>
        </w:rPr>
        <w:t xml:space="preserve"> change. </w:t>
      </w:r>
      <w:r w:rsidRPr="00D77AB8">
        <w:rPr>
          <w:rFonts w:cs="Times New Roman"/>
          <w:i/>
          <w:iCs/>
          <w:szCs w:val="24"/>
        </w:rPr>
        <w:t>Psychological Review</w:t>
      </w:r>
      <w:r w:rsidRPr="00D77AB8">
        <w:rPr>
          <w:rFonts w:cs="Times New Roman"/>
          <w:szCs w:val="24"/>
        </w:rPr>
        <w:t xml:space="preserve">, </w:t>
      </w:r>
      <w:r w:rsidRPr="00D77AB8">
        <w:rPr>
          <w:rFonts w:cs="Times New Roman"/>
          <w:i/>
          <w:iCs/>
          <w:szCs w:val="24"/>
        </w:rPr>
        <w:t>84</w:t>
      </w:r>
      <w:r w:rsidRPr="00D77AB8">
        <w:rPr>
          <w:rFonts w:cs="Times New Roman"/>
          <w:szCs w:val="24"/>
        </w:rPr>
        <w:t xml:space="preserve">(2), </w:t>
      </w:r>
      <w:r w:rsidRPr="009A7962">
        <w:rPr>
          <w:rFonts w:cs="Times New Roman"/>
          <w:szCs w:val="24"/>
        </w:rPr>
        <w:t xml:space="preserve">191–215. </w:t>
      </w:r>
      <w:hyperlink r:id="rId7" w:history="1">
        <w:r w:rsidRPr="00D77AB8">
          <w:rPr>
            <w:rStyle w:val="Hyperlink"/>
            <w:rFonts w:cs="Times New Roman"/>
            <w:color w:val="auto"/>
            <w:szCs w:val="24"/>
          </w:rPr>
          <w:t>https://doi.org/10.1037/0033-295X.84.2.191</w:t>
        </w:r>
      </w:hyperlink>
    </w:p>
    <w:p w14:paraId="0358C396" w14:textId="781E293D" w:rsidR="00A24206" w:rsidRPr="009A7962" w:rsidRDefault="002526B0" w:rsidP="002526B0">
      <w:pPr>
        <w:autoSpaceDE w:val="0"/>
        <w:autoSpaceDN w:val="0"/>
        <w:ind w:hanging="480"/>
        <w:rPr>
          <w:rFonts w:eastAsia="Times New Roman" w:cs="Times New Roman"/>
          <w:szCs w:val="24"/>
        </w:rPr>
      </w:pPr>
      <w:proofErr w:type="spellStart"/>
      <w:r w:rsidRPr="009A7962">
        <w:rPr>
          <w:rFonts w:eastAsia="Times New Roman" w:cs="Times New Roman"/>
          <w:szCs w:val="24"/>
        </w:rPr>
        <w:t>Boud</w:t>
      </w:r>
      <w:proofErr w:type="spellEnd"/>
      <w:r w:rsidRPr="009A7962">
        <w:rPr>
          <w:rFonts w:eastAsia="Times New Roman" w:cs="Times New Roman"/>
          <w:szCs w:val="24"/>
        </w:rPr>
        <w:t xml:space="preserve">, D., </w:t>
      </w:r>
      <w:proofErr w:type="spellStart"/>
      <w:r w:rsidRPr="009A7962">
        <w:rPr>
          <w:rFonts w:eastAsia="Times New Roman" w:cs="Times New Roman"/>
          <w:szCs w:val="24"/>
        </w:rPr>
        <w:t>Ajjawi</w:t>
      </w:r>
      <w:proofErr w:type="spellEnd"/>
      <w:r w:rsidRPr="009A7962">
        <w:rPr>
          <w:rFonts w:eastAsia="Times New Roman" w:cs="Times New Roman"/>
          <w:szCs w:val="24"/>
        </w:rPr>
        <w:t xml:space="preserve">, R., Dawson, P., &amp; Tai, J. (2018). </w:t>
      </w:r>
      <w:r w:rsidRPr="009A7962">
        <w:rPr>
          <w:rFonts w:eastAsia="Times New Roman" w:cs="Times New Roman"/>
          <w:i/>
          <w:iCs/>
          <w:szCs w:val="24"/>
        </w:rPr>
        <w:t>Developing Evaluative Judgement in Higher Education: Assessment for Knowing and Producing Quality Work</w:t>
      </w:r>
      <w:r w:rsidRPr="009A7962">
        <w:rPr>
          <w:rFonts w:eastAsia="Times New Roman" w:cs="Times New Roman"/>
          <w:szCs w:val="24"/>
        </w:rPr>
        <w:t xml:space="preserve"> (First Ed). Routledge. </w:t>
      </w:r>
      <w:hyperlink r:id="rId8" w:history="1">
        <w:r w:rsidR="00D77AB8" w:rsidRPr="00FD0870">
          <w:rPr>
            <w:rStyle w:val="Hyperlink"/>
            <w:rFonts w:eastAsia="Times New Roman" w:cs="Times New Roman"/>
            <w:szCs w:val="24"/>
          </w:rPr>
          <w:t>https://www.routledge.com/Developing-Evaluative-Judgement-in-Higher-Education-Assessment-for-Knowing/Boud-Ajjawi-Dawson-Tai/p/book/9781138089358</w:t>
        </w:r>
      </w:hyperlink>
      <w:r w:rsidR="00D77AB8">
        <w:rPr>
          <w:rFonts w:eastAsia="Times New Roman" w:cs="Times New Roman"/>
          <w:szCs w:val="24"/>
        </w:rPr>
        <w:t xml:space="preserve"> </w:t>
      </w:r>
    </w:p>
    <w:p w14:paraId="3CAD32F5" w14:textId="62615E2D" w:rsidR="002526B0" w:rsidRPr="009A7962" w:rsidRDefault="002526B0" w:rsidP="002526B0">
      <w:pPr>
        <w:autoSpaceDE w:val="0"/>
        <w:autoSpaceDN w:val="0"/>
        <w:ind w:hanging="480"/>
        <w:rPr>
          <w:rFonts w:eastAsia="Times New Roman" w:cs="Times New Roman"/>
          <w:szCs w:val="24"/>
        </w:rPr>
      </w:pPr>
      <w:r w:rsidRPr="009A7962">
        <w:rPr>
          <w:rFonts w:eastAsia="Times New Roman" w:cs="Times New Roman"/>
          <w:szCs w:val="24"/>
        </w:rPr>
        <w:t xml:space="preserve">Chen, Y., &amp; Lou, H. (2004). Students’ perceptions of peer evaluation: An expectancy perspective. </w:t>
      </w:r>
      <w:r w:rsidRPr="009A7962">
        <w:rPr>
          <w:rFonts w:eastAsia="Times New Roman" w:cs="Times New Roman"/>
          <w:i/>
          <w:iCs/>
          <w:szCs w:val="24"/>
        </w:rPr>
        <w:t>Journal of Education for Business</w:t>
      </w:r>
      <w:r w:rsidRPr="009A7962">
        <w:rPr>
          <w:rFonts w:eastAsia="Times New Roman" w:cs="Times New Roman"/>
          <w:szCs w:val="24"/>
        </w:rPr>
        <w:t xml:space="preserve">, </w:t>
      </w:r>
      <w:r w:rsidRPr="009A7962">
        <w:rPr>
          <w:rFonts w:eastAsia="Times New Roman" w:cs="Times New Roman"/>
          <w:i/>
          <w:iCs/>
          <w:szCs w:val="24"/>
        </w:rPr>
        <w:t>79</w:t>
      </w:r>
      <w:r w:rsidRPr="009A7962">
        <w:rPr>
          <w:rFonts w:eastAsia="Times New Roman" w:cs="Times New Roman"/>
          <w:szCs w:val="24"/>
        </w:rPr>
        <w:t xml:space="preserve">(5), 275–282. </w:t>
      </w:r>
      <w:hyperlink r:id="rId9" w:history="1">
        <w:r w:rsidR="00A2664D" w:rsidRPr="00D77AB8">
          <w:rPr>
            <w:rStyle w:val="Hyperlink"/>
            <w:rFonts w:eastAsia="Times New Roman" w:cs="Times New Roman"/>
            <w:color w:val="auto"/>
            <w:szCs w:val="24"/>
          </w:rPr>
          <w:t>https://doi.org/10.3200/JOEB.79.5.275-282</w:t>
        </w:r>
      </w:hyperlink>
    </w:p>
    <w:p w14:paraId="38A77C95" w14:textId="3D5C47B5" w:rsidR="00B07C9E" w:rsidRPr="009A7962" w:rsidRDefault="00B07C9E" w:rsidP="002526B0">
      <w:pPr>
        <w:autoSpaceDE w:val="0"/>
        <w:autoSpaceDN w:val="0"/>
        <w:ind w:hanging="480"/>
        <w:rPr>
          <w:rFonts w:eastAsia="Times New Roman" w:cs="Times New Roman"/>
          <w:szCs w:val="24"/>
        </w:rPr>
      </w:pPr>
      <w:r w:rsidRPr="009A7962">
        <w:rPr>
          <w:rFonts w:eastAsia="Times New Roman" w:cs="Times New Roman"/>
          <w:szCs w:val="24"/>
        </w:rPr>
        <w:t xml:space="preserve">Cornelissen, J. P., </w:t>
      </w:r>
      <w:proofErr w:type="spellStart"/>
      <w:r w:rsidRPr="009A7962">
        <w:rPr>
          <w:rFonts w:eastAsia="Times New Roman" w:cs="Times New Roman"/>
          <w:szCs w:val="24"/>
        </w:rPr>
        <w:t>Oswick</w:t>
      </w:r>
      <w:proofErr w:type="spellEnd"/>
      <w:r w:rsidRPr="009A7962">
        <w:rPr>
          <w:rFonts w:eastAsia="Times New Roman" w:cs="Times New Roman"/>
          <w:szCs w:val="24"/>
        </w:rPr>
        <w:t xml:space="preserve">, C., </w:t>
      </w:r>
      <w:proofErr w:type="spellStart"/>
      <w:r w:rsidRPr="009A7962">
        <w:rPr>
          <w:rFonts w:eastAsia="Times New Roman" w:cs="Times New Roman"/>
          <w:szCs w:val="24"/>
        </w:rPr>
        <w:t>Thøger</w:t>
      </w:r>
      <w:proofErr w:type="spellEnd"/>
      <w:r w:rsidRPr="009A7962">
        <w:rPr>
          <w:rFonts w:eastAsia="Times New Roman" w:cs="Times New Roman"/>
          <w:szCs w:val="24"/>
        </w:rPr>
        <w:t xml:space="preserve"> Christensen, L., &amp; Phillips, N. (2008). Metaphor in Organizational Research: Context, </w:t>
      </w:r>
      <w:proofErr w:type="gramStart"/>
      <w:r w:rsidRPr="009A7962">
        <w:rPr>
          <w:rFonts w:eastAsia="Times New Roman" w:cs="Times New Roman"/>
          <w:szCs w:val="24"/>
        </w:rPr>
        <w:t>Modalities</w:t>
      </w:r>
      <w:proofErr w:type="gramEnd"/>
      <w:r w:rsidRPr="009A7962">
        <w:rPr>
          <w:rFonts w:eastAsia="Times New Roman" w:cs="Times New Roman"/>
          <w:szCs w:val="24"/>
        </w:rPr>
        <w:t xml:space="preserve"> and Implications for Research — Introduction. </w:t>
      </w:r>
      <w:r w:rsidRPr="009A7962">
        <w:rPr>
          <w:rFonts w:eastAsia="Times New Roman" w:cs="Times New Roman"/>
          <w:i/>
          <w:iCs/>
          <w:szCs w:val="24"/>
        </w:rPr>
        <w:t>Organization Studies</w:t>
      </w:r>
      <w:r w:rsidRPr="009A7962">
        <w:rPr>
          <w:rFonts w:eastAsia="Times New Roman" w:cs="Times New Roman"/>
          <w:szCs w:val="24"/>
        </w:rPr>
        <w:t xml:space="preserve">, </w:t>
      </w:r>
      <w:r w:rsidRPr="00546D85">
        <w:rPr>
          <w:rFonts w:eastAsia="Times New Roman" w:cs="Times New Roman"/>
          <w:i/>
          <w:iCs/>
          <w:szCs w:val="24"/>
        </w:rPr>
        <w:t>29</w:t>
      </w:r>
      <w:r w:rsidRPr="009A7962">
        <w:rPr>
          <w:rFonts w:eastAsia="Times New Roman" w:cs="Times New Roman"/>
          <w:szCs w:val="24"/>
        </w:rPr>
        <w:t xml:space="preserve">(1), 7–22. </w:t>
      </w:r>
      <w:hyperlink r:id="rId10" w:history="1">
        <w:r w:rsidR="00D77AB8" w:rsidRPr="00FD0870">
          <w:rPr>
            <w:rStyle w:val="Hyperlink"/>
            <w:rFonts w:eastAsia="Times New Roman" w:cs="Times New Roman"/>
            <w:szCs w:val="24"/>
          </w:rPr>
          <w:t>https://doi.org/10.1177/0170840607086634</w:t>
        </w:r>
      </w:hyperlink>
      <w:r w:rsidR="00D77AB8">
        <w:rPr>
          <w:rFonts w:eastAsia="Times New Roman" w:cs="Times New Roman"/>
          <w:szCs w:val="24"/>
        </w:rPr>
        <w:t xml:space="preserve"> </w:t>
      </w:r>
    </w:p>
    <w:p w14:paraId="38801978" w14:textId="77777777" w:rsidR="00A2664D" w:rsidRPr="00D77AB8" w:rsidRDefault="00A2664D" w:rsidP="00A2664D">
      <w:pPr>
        <w:autoSpaceDE w:val="0"/>
        <w:autoSpaceDN w:val="0"/>
        <w:ind w:hanging="480"/>
        <w:rPr>
          <w:rFonts w:eastAsia="Times New Roman" w:cs="Times New Roman"/>
          <w:szCs w:val="24"/>
        </w:rPr>
      </w:pPr>
      <w:r w:rsidRPr="00D77AB8">
        <w:rPr>
          <w:rFonts w:eastAsia="Times New Roman" w:cs="Times New Roman"/>
          <w:szCs w:val="24"/>
        </w:rPr>
        <w:t xml:space="preserve">Cook-Sather, A., </w:t>
      </w:r>
      <w:proofErr w:type="spellStart"/>
      <w:r w:rsidRPr="00D77AB8">
        <w:rPr>
          <w:rFonts w:eastAsia="Times New Roman" w:cs="Times New Roman"/>
          <w:szCs w:val="24"/>
        </w:rPr>
        <w:t>Bovill</w:t>
      </w:r>
      <w:proofErr w:type="spellEnd"/>
      <w:r w:rsidRPr="00D77AB8">
        <w:rPr>
          <w:rFonts w:eastAsia="Times New Roman" w:cs="Times New Roman"/>
          <w:szCs w:val="24"/>
        </w:rPr>
        <w:t xml:space="preserve">, C., </w:t>
      </w:r>
      <w:proofErr w:type="spellStart"/>
      <w:r w:rsidRPr="00D77AB8">
        <w:rPr>
          <w:rFonts w:eastAsia="Times New Roman" w:cs="Times New Roman"/>
          <w:szCs w:val="24"/>
        </w:rPr>
        <w:t>Felten</w:t>
      </w:r>
      <w:proofErr w:type="spellEnd"/>
      <w:r w:rsidRPr="00D77AB8">
        <w:rPr>
          <w:rFonts w:eastAsia="Times New Roman" w:cs="Times New Roman"/>
          <w:szCs w:val="24"/>
        </w:rPr>
        <w:t>, P., &amp; Cook, M. (2014). Engaging students as partners in learning and teaching: a guide for faculty. Jossey-Bass.</w:t>
      </w:r>
    </w:p>
    <w:p w14:paraId="508BD04B" w14:textId="1514215E" w:rsidR="00A2664D" w:rsidRPr="00D77AB8" w:rsidRDefault="005D2F08" w:rsidP="005D2F08">
      <w:pPr>
        <w:autoSpaceDE w:val="0"/>
        <w:autoSpaceDN w:val="0"/>
        <w:ind w:hanging="480"/>
        <w:rPr>
          <w:rFonts w:eastAsia="Times New Roman" w:cs="Times New Roman"/>
          <w:szCs w:val="24"/>
        </w:rPr>
      </w:pPr>
      <w:r w:rsidRPr="00D77AB8">
        <w:rPr>
          <w:rFonts w:eastAsia="Times New Roman" w:cs="Times New Roman"/>
          <w:szCs w:val="24"/>
        </w:rPr>
        <w:t xml:space="preserve">Cook-Sather, A., Matthews, K. (2021). Pedagogical partnership: engaging with students as co-creators of curriculum, assessment and knowledge. </w:t>
      </w:r>
      <w:r w:rsidR="003C7571" w:rsidRPr="00D77AB8">
        <w:rPr>
          <w:rFonts w:eastAsia="Times New Roman" w:cs="Times New Roman"/>
          <w:szCs w:val="24"/>
        </w:rPr>
        <w:t xml:space="preserve">In </w:t>
      </w:r>
      <w:r w:rsidR="00ED30CE" w:rsidRPr="00D77AB8">
        <w:rPr>
          <w:rFonts w:eastAsia="Times New Roman" w:cs="Times New Roman"/>
          <w:szCs w:val="24"/>
        </w:rPr>
        <w:t xml:space="preserve">D. </w:t>
      </w:r>
      <w:r w:rsidR="003C7571" w:rsidRPr="00D77AB8">
        <w:rPr>
          <w:rFonts w:eastAsia="Times New Roman" w:cs="Times New Roman"/>
          <w:szCs w:val="24"/>
        </w:rPr>
        <w:t xml:space="preserve">Chalmers </w:t>
      </w:r>
      <w:r w:rsidR="00ED30CE" w:rsidRPr="00D77AB8">
        <w:rPr>
          <w:rFonts w:eastAsia="Times New Roman" w:cs="Times New Roman"/>
          <w:szCs w:val="24"/>
        </w:rPr>
        <w:t xml:space="preserve">&amp; </w:t>
      </w:r>
      <w:r w:rsidR="003C7571" w:rsidRPr="00D77AB8">
        <w:rPr>
          <w:rFonts w:eastAsia="Times New Roman" w:cs="Times New Roman"/>
          <w:szCs w:val="24"/>
        </w:rPr>
        <w:t xml:space="preserve">L. Hunt (Ed.), </w:t>
      </w:r>
      <w:r w:rsidR="003C7571" w:rsidRPr="00D77AB8">
        <w:rPr>
          <w:rFonts w:eastAsia="Times New Roman" w:cs="Times New Roman"/>
          <w:i/>
          <w:iCs/>
          <w:szCs w:val="24"/>
        </w:rPr>
        <w:t xml:space="preserve">University Teaching in Focus: A Learning-Centred Approach </w:t>
      </w:r>
      <w:r w:rsidR="003C7571" w:rsidRPr="00D77AB8">
        <w:rPr>
          <w:rFonts w:eastAsia="Times New Roman" w:cs="Times New Roman"/>
          <w:szCs w:val="24"/>
        </w:rPr>
        <w:t>(pp. 243–259). Routledge.</w:t>
      </w:r>
    </w:p>
    <w:p w14:paraId="33CEA035" w14:textId="0626F8A8" w:rsidR="00A10BEF" w:rsidRPr="009A7962" w:rsidRDefault="002526B0" w:rsidP="00A10BEF">
      <w:pPr>
        <w:autoSpaceDE w:val="0"/>
        <w:autoSpaceDN w:val="0"/>
        <w:ind w:hanging="480"/>
        <w:rPr>
          <w:rFonts w:eastAsia="Times New Roman" w:cs="Times New Roman"/>
          <w:szCs w:val="24"/>
        </w:rPr>
      </w:pPr>
      <w:proofErr w:type="spellStart"/>
      <w:r w:rsidRPr="009A7962">
        <w:rPr>
          <w:rFonts w:eastAsia="Times New Roman" w:cs="Times New Roman"/>
          <w:szCs w:val="24"/>
        </w:rPr>
        <w:t>Fellenz</w:t>
      </w:r>
      <w:proofErr w:type="spellEnd"/>
      <w:r w:rsidRPr="009A7962">
        <w:rPr>
          <w:rFonts w:eastAsia="Times New Roman" w:cs="Times New Roman"/>
          <w:szCs w:val="24"/>
        </w:rPr>
        <w:t xml:space="preserve">, M. R. (2006). Toward fairness in assessing student groupwork: A protocol for peer evaluation of individual contributions. </w:t>
      </w:r>
      <w:r w:rsidRPr="009A7962">
        <w:rPr>
          <w:rFonts w:eastAsia="Times New Roman" w:cs="Times New Roman"/>
          <w:i/>
          <w:iCs/>
          <w:szCs w:val="24"/>
        </w:rPr>
        <w:t>Journal of Management Education</w:t>
      </w:r>
      <w:r w:rsidRPr="009A7962">
        <w:rPr>
          <w:rFonts w:eastAsia="Times New Roman" w:cs="Times New Roman"/>
          <w:szCs w:val="24"/>
        </w:rPr>
        <w:t xml:space="preserve">, </w:t>
      </w:r>
      <w:r w:rsidRPr="009A7962">
        <w:rPr>
          <w:rFonts w:eastAsia="Times New Roman" w:cs="Times New Roman"/>
          <w:i/>
          <w:iCs/>
          <w:szCs w:val="24"/>
        </w:rPr>
        <w:t>30</w:t>
      </w:r>
      <w:r w:rsidRPr="009A7962">
        <w:rPr>
          <w:rFonts w:eastAsia="Times New Roman" w:cs="Times New Roman"/>
          <w:szCs w:val="24"/>
        </w:rPr>
        <w:t>(4), 570–591.</w:t>
      </w:r>
    </w:p>
    <w:p w14:paraId="2BCB05F1" w14:textId="0F619755" w:rsidR="008419E8" w:rsidRPr="00D77AB8" w:rsidRDefault="008419E8" w:rsidP="008419E8">
      <w:pPr>
        <w:autoSpaceDE w:val="0"/>
        <w:autoSpaceDN w:val="0"/>
        <w:ind w:hanging="480"/>
        <w:rPr>
          <w:rFonts w:eastAsia="Times New Roman" w:cs="Times New Roman"/>
          <w:szCs w:val="24"/>
        </w:rPr>
      </w:pPr>
      <w:r w:rsidRPr="00D77AB8">
        <w:rPr>
          <w:rFonts w:eastAsia="Times New Roman" w:cs="Times New Roman"/>
          <w:szCs w:val="24"/>
        </w:rPr>
        <w:t xml:space="preserve">Freeman, R. </w:t>
      </w:r>
      <w:r w:rsidR="00126043">
        <w:rPr>
          <w:rFonts w:eastAsia="Times New Roman" w:cs="Times New Roman"/>
          <w:szCs w:val="24"/>
        </w:rPr>
        <w:t>(</w:t>
      </w:r>
      <w:r w:rsidRPr="00D77AB8">
        <w:rPr>
          <w:rFonts w:eastAsia="Times New Roman" w:cs="Times New Roman"/>
          <w:szCs w:val="24"/>
        </w:rPr>
        <w:t>2016</w:t>
      </w:r>
      <w:r w:rsidR="00126043">
        <w:rPr>
          <w:rFonts w:eastAsia="Times New Roman" w:cs="Times New Roman"/>
          <w:szCs w:val="24"/>
        </w:rPr>
        <w:t>)</w:t>
      </w:r>
      <w:r w:rsidRPr="00D77AB8">
        <w:rPr>
          <w:rFonts w:eastAsia="Times New Roman" w:cs="Times New Roman"/>
          <w:szCs w:val="24"/>
        </w:rPr>
        <w:t xml:space="preserve">. Is </w:t>
      </w:r>
      <w:r w:rsidR="00126043">
        <w:rPr>
          <w:rFonts w:eastAsia="Times New Roman" w:cs="Times New Roman"/>
          <w:szCs w:val="24"/>
        </w:rPr>
        <w:t>s</w:t>
      </w:r>
      <w:r w:rsidRPr="00D77AB8">
        <w:rPr>
          <w:rFonts w:eastAsia="Times New Roman" w:cs="Times New Roman"/>
          <w:szCs w:val="24"/>
        </w:rPr>
        <w:t xml:space="preserve">tudent </w:t>
      </w:r>
      <w:r w:rsidR="00126043">
        <w:rPr>
          <w:rFonts w:eastAsia="Times New Roman" w:cs="Times New Roman"/>
          <w:szCs w:val="24"/>
        </w:rPr>
        <w:t>v</w:t>
      </w:r>
      <w:r w:rsidRPr="00D77AB8">
        <w:rPr>
          <w:rFonts w:eastAsia="Times New Roman" w:cs="Times New Roman"/>
          <w:szCs w:val="24"/>
        </w:rPr>
        <w:t xml:space="preserve">oice </w:t>
      </w:r>
      <w:r w:rsidR="00126043">
        <w:rPr>
          <w:rFonts w:eastAsia="Times New Roman" w:cs="Times New Roman"/>
          <w:szCs w:val="24"/>
        </w:rPr>
        <w:t>n</w:t>
      </w:r>
      <w:r w:rsidRPr="00D77AB8">
        <w:rPr>
          <w:rFonts w:eastAsia="Times New Roman" w:cs="Times New Roman"/>
          <w:szCs w:val="24"/>
        </w:rPr>
        <w:t xml:space="preserve">ecessarily </w:t>
      </w:r>
      <w:r w:rsidR="00126043">
        <w:rPr>
          <w:rFonts w:eastAsia="Times New Roman" w:cs="Times New Roman"/>
          <w:szCs w:val="24"/>
        </w:rPr>
        <w:t>e</w:t>
      </w:r>
      <w:r w:rsidRPr="00D77AB8">
        <w:rPr>
          <w:rFonts w:eastAsia="Times New Roman" w:cs="Times New Roman"/>
          <w:szCs w:val="24"/>
        </w:rPr>
        <w:t xml:space="preserve">mpowering? Problematising </w:t>
      </w:r>
      <w:r w:rsidR="00126043">
        <w:rPr>
          <w:rFonts w:eastAsia="Times New Roman" w:cs="Times New Roman"/>
          <w:szCs w:val="24"/>
        </w:rPr>
        <w:t>s</w:t>
      </w:r>
      <w:r w:rsidRPr="00D77AB8">
        <w:rPr>
          <w:rFonts w:eastAsia="Times New Roman" w:cs="Times New Roman"/>
          <w:szCs w:val="24"/>
        </w:rPr>
        <w:t xml:space="preserve">tudent </w:t>
      </w:r>
      <w:r w:rsidR="00126043">
        <w:rPr>
          <w:rFonts w:eastAsia="Times New Roman" w:cs="Times New Roman"/>
          <w:szCs w:val="24"/>
        </w:rPr>
        <w:t>v</w:t>
      </w:r>
      <w:r w:rsidRPr="00D77AB8">
        <w:rPr>
          <w:rFonts w:eastAsia="Times New Roman" w:cs="Times New Roman"/>
          <w:szCs w:val="24"/>
        </w:rPr>
        <w:t xml:space="preserve">oice as a </w:t>
      </w:r>
      <w:r w:rsidR="00126043">
        <w:rPr>
          <w:rFonts w:eastAsia="Times New Roman" w:cs="Times New Roman"/>
          <w:szCs w:val="24"/>
        </w:rPr>
        <w:t>f</w:t>
      </w:r>
      <w:r w:rsidRPr="00D77AB8">
        <w:rPr>
          <w:rFonts w:eastAsia="Times New Roman" w:cs="Times New Roman"/>
          <w:szCs w:val="24"/>
        </w:rPr>
        <w:t xml:space="preserve">orm of </w:t>
      </w:r>
      <w:r w:rsidR="00126043">
        <w:rPr>
          <w:rFonts w:eastAsia="Times New Roman" w:cs="Times New Roman"/>
          <w:szCs w:val="24"/>
        </w:rPr>
        <w:t>h</w:t>
      </w:r>
      <w:r w:rsidRPr="00D77AB8">
        <w:rPr>
          <w:rFonts w:eastAsia="Times New Roman" w:cs="Times New Roman"/>
          <w:szCs w:val="24"/>
        </w:rPr>
        <w:t>igher</w:t>
      </w:r>
      <w:r w:rsidRPr="009A7962">
        <w:rPr>
          <w:rFonts w:eastAsia="Times New Roman" w:cs="Times New Roman"/>
          <w:szCs w:val="24"/>
        </w:rPr>
        <w:t xml:space="preserve"> </w:t>
      </w:r>
      <w:r w:rsidR="00126043">
        <w:rPr>
          <w:rFonts w:eastAsia="Times New Roman" w:cs="Times New Roman"/>
          <w:szCs w:val="24"/>
        </w:rPr>
        <w:t>e</w:t>
      </w:r>
      <w:r w:rsidRPr="00D77AB8">
        <w:rPr>
          <w:rFonts w:eastAsia="Times New Roman" w:cs="Times New Roman"/>
          <w:szCs w:val="24"/>
        </w:rPr>
        <w:t xml:space="preserve">ducation </w:t>
      </w:r>
      <w:r w:rsidR="00126043">
        <w:rPr>
          <w:rFonts w:eastAsia="Times New Roman" w:cs="Times New Roman"/>
          <w:szCs w:val="24"/>
        </w:rPr>
        <w:t>g</w:t>
      </w:r>
      <w:r w:rsidRPr="00D77AB8">
        <w:rPr>
          <w:rFonts w:eastAsia="Times New Roman" w:cs="Times New Roman"/>
          <w:szCs w:val="24"/>
        </w:rPr>
        <w:t xml:space="preserve">overnance. </w:t>
      </w:r>
      <w:r w:rsidRPr="00D77AB8">
        <w:rPr>
          <w:rFonts w:eastAsia="Times New Roman" w:cs="Times New Roman"/>
          <w:i/>
          <w:iCs/>
          <w:szCs w:val="24"/>
        </w:rPr>
        <w:t>Higher Education Research and Development,</w:t>
      </w:r>
      <w:r w:rsidRPr="00D77AB8">
        <w:rPr>
          <w:rFonts w:eastAsia="Times New Roman" w:cs="Times New Roman"/>
          <w:szCs w:val="24"/>
        </w:rPr>
        <w:t xml:space="preserve"> </w:t>
      </w:r>
      <w:r w:rsidRPr="00546D85">
        <w:rPr>
          <w:rFonts w:eastAsia="Times New Roman" w:cs="Times New Roman"/>
          <w:i/>
          <w:iCs/>
          <w:szCs w:val="24"/>
        </w:rPr>
        <w:t>35</w:t>
      </w:r>
      <w:r w:rsidRPr="00D77AB8">
        <w:rPr>
          <w:rFonts w:eastAsia="Times New Roman" w:cs="Times New Roman"/>
          <w:szCs w:val="24"/>
        </w:rPr>
        <w:t xml:space="preserve">(4): 859–62. </w:t>
      </w:r>
      <w:r w:rsidR="00126043" w:rsidRPr="00D77AB8">
        <w:rPr>
          <w:rFonts w:eastAsia="Times New Roman" w:cs="Times New Roman"/>
          <w:szCs w:val="24"/>
        </w:rPr>
        <w:t>D</w:t>
      </w:r>
      <w:r w:rsidRPr="00D77AB8">
        <w:rPr>
          <w:rFonts w:eastAsia="Times New Roman" w:cs="Times New Roman"/>
          <w:szCs w:val="24"/>
        </w:rPr>
        <w:t>oi:10.1080/07294360.2016.1172764.</w:t>
      </w:r>
      <w:r w:rsidR="00D77AB8">
        <w:rPr>
          <w:rFonts w:eastAsia="Times New Roman" w:cs="Times New Roman"/>
          <w:szCs w:val="24"/>
        </w:rPr>
        <w:t xml:space="preserve"> </w:t>
      </w:r>
    </w:p>
    <w:p w14:paraId="30D67DA0" w14:textId="5D95312E" w:rsidR="003E3039" w:rsidRPr="00D77AB8" w:rsidRDefault="003E3039" w:rsidP="003E3039">
      <w:pPr>
        <w:autoSpaceDE w:val="0"/>
        <w:autoSpaceDN w:val="0"/>
        <w:ind w:hanging="480"/>
        <w:rPr>
          <w:rFonts w:eastAsia="Times New Roman" w:cs="Times New Roman"/>
          <w:szCs w:val="24"/>
        </w:rPr>
      </w:pPr>
      <w:proofErr w:type="spellStart"/>
      <w:r w:rsidRPr="00D77AB8">
        <w:rPr>
          <w:rFonts w:eastAsia="Times New Roman" w:cs="Times New Roman"/>
          <w:szCs w:val="24"/>
        </w:rPr>
        <w:t>Godbold</w:t>
      </w:r>
      <w:proofErr w:type="spellEnd"/>
      <w:r w:rsidRPr="00D77AB8">
        <w:rPr>
          <w:rFonts w:eastAsia="Times New Roman" w:cs="Times New Roman"/>
          <w:szCs w:val="24"/>
        </w:rPr>
        <w:t xml:space="preserve">, N., Hung, T.-Y. (Amy), &amp; Matthews, K. E. (2022). Exploring the role of conflict in co-creation of curriculum through engaging students as partners in the classroom. </w:t>
      </w:r>
      <w:r w:rsidRPr="00D77AB8">
        <w:rPr>
          <w:rFonts w:eastAsia="Times New Roman" w:cs="Times New Roman"/>
          <w:i/>
          <w:iCs/>
          <w:szCs w:val="24"/>
        </w:rPr>
        <w:t xml:space="preserve">Higher </w:t>
      </w:r>
      <w:r w:rsidRPr="00D77AB8">
        <w:rPr>
          <w:rFonts w:eastAsia="Times New Roman" w:cs="Times New Roman"/>
          <w:i/>
          <w:iCs/>
          <w:szCs w:val="24"/>
        </w:rPr>
        <w:lastRenderedPageBreak/>
        <w:t>Education Research and Development</w:t>
      </w:r>
      <w:r w:rsidRPr="00D77AB8">
        <w:rPr>
          <w:rFonts w:eastAsia="Times New Roman" w:cs="Times New Roman"/>
          <w:szCs w:val="24"/>
        </w:rPr>
        <w:t xml:space="preserve">, </w:t>
      </w:r>
      <w:r w:rsidRPr="00546D85">
        <w:rPr>
          <w:rFonts w:eastAsia="Times New Roman" w:cs="Times New Roman"/>
          <w:i/>
          <w:iCs/>
          <w:szCs w:val="24"/>
        </w:rPr>
        <w:t>41</w:t>
      </w:r>
      <w:r w:rsidRPr="00D77AB8">
        <w:rPr>
          <w:rFonts w:eastAsia="Times New Roman" w:cs="Times New Roman"/>
          <w:szCs w:val="24"/>
        </w:rPr>
        <w:t xml:space="preserve">(4), 1104–1118. </w:t>
      </w:r>
      <w:hyperlink r:id="rId11" w:history="1">
        <w:r w:rsidR="00D77AB8" w:rsidRPr="00FD0870">
          <w:rPr>
            <w:rStyle w:val="Hyperlink"/>
            <w:rFonts w:eastAsia="Times New Roman" w:cs="Times New Roman"/>
            <w:szCs w:val="24"/>
          </w:rPr>
          <w:t>https://doi.org/10.1080/07294360.2021.1887095</w:t>
        </w:r>
      </w:hyperlink>
      <w:r w:rsidR="00D77AB8">
        <w:rPr>
          <w:rFonts w:eastAsia="Times New Roman" w:cs="Times New Roman"/>
          <w:szCs w:val="24"/>
        </w:rPr>
        <w:t xml:space="preserve"> </w:t>
      </w:r>
    </w:p>
    <w:p w14:paraId="248F2382" w14:textId="45BA6513" w:rsidR="002526B0" w:rsidRPr="00D77AB8" w:rsidRDefault="002526B0" w:rsidP="002526B0">
      <w:pPr>
        <w:autoSpaceDE w:val="0"/>
        <w:autoSpaceDN w:val="0"/>
        <w:ind w:hanging="480"/>
        <w:rPr>
          <w:rStyle w:val="Hyperlink"/>
          <w:rFonts w:eastAsia="Times New Roman" w:cs="Times New Roman"/>
          <w:color w:val="auto"/>
          <w:szCs w:val="24"/>
        </w:rPr>
      </w:pPr>
      <w:r w:rsidRPr="009A7962">
        <w:rPr>
          <w:rFonts w:eastAsia="Times New Roman" w:cs="Times New Roman"/>
          <w:szCs w:val="24"/>
        </w:rPr>
        <w:t>Ibarra-</w:t>
      </w:r>
      <w:proofErr w:type="spellStart"/>
      <w:r w:rsidRPr="009A7962">
        <w:rPr>
          <w:rFonts w:eastAsia="Times New Roman" w:cs="Times New Roman"/>
          <w:szCs w:val="24"/>
        </w:rPr>
        <w:t>Sáiz</w:t>
      </w:r>
      <w:proofErr w:type="spellEnd"/>
      <w:r w:rsidRPr="009A7962">
        <w:rPr>
          <w:rFonts w:eastAsia="Times New Roman" w:cs="Times New Roman"/>
          <w:szCs w:val="24"/>
        </w:rPr>
        <w:t xml:space="preserve">, M., Rodríguez-Gómez, G., &amp; </w:t>
      </w:r>
      <w:proofErr w:type="spellStart"/>
      <w:r w:rsidRPr="009A7962">
        <w:rPr>
          <w:rFonts w:eastAsia="Times New Roman" w:cs="Times New Roman"/>
          <w:szCs w:val="24"/>
        </w:rPr>
        <w:t>Boud</w:t>
      </w:r>
      <w:proofErr w:type="spellEnd"/>
      <w:r w:rsidRPr="009A7962">
        <w:rPr>
          <w:rFonts w:eastAsia="Times New Roman" w:cs="Times New Roman"/>
          <w:szCs w:val="24"/>
        </w:rPr>
        <w:t xml:space="preserve">, D. (2020). Developing student competence through peer assessment: the role of feedback, self-regulation and evaluative judgement. </w:t>
      </w:r>
      <w:r w:rsidRPr="009A7962">
        <w:rPr>
          <w:rFonts w:eastAsia="Times New Roman" w:cs="Times New Roman"/>
          <w:i/>
          <w:iCs/>
          <w:szCs w:val="24"/>
        </w:rPr>
        <w:t>Higher Education</w:t>
      </w:r>
      <w:r w:rsidRPr="009A7962">
        <w:rPr>
          <w:rFonts w:eastAsia="Times New Roman" w:cs="Times New Roman"/>
          <w:szCs w:val="24"/>
        </w:rPr>
        <w:t xml:space="preserve">, 1–20. </w:t>
      </w:r>
      <w:hyperlink r:id="rId12" w:history="1">
        <w:r w:rsidRPr="00D77AB8">
          <w:rPr>
            <w:rStyle w:val="Hyperlink"/>
            <w:rFonts w:eastAsia="Times New Roman" w:cs="Times New Roman"/>
            <w:color w:val="auto"/>
            <w:szCs w:val="24"/>
          </w:rPr>
          <w:t>https://doi.org/10.1007/s10734-019-00469-2</w:t>
        </w:r>
      </w:hyperlink>
    </w:p>
    <w:p w14:paraId="1AC454AF" w14:textId="19454760" w:rsidR="00AF752B" w:rsidRPr="00D77AB8" w:rsidRDefault="00AF752B" w:rsidP="002526B0">
      <w:pPr>
        <w:autoSpaceDE w:val="0"/>
        <w:autoSpaceDN w:val="0"/>
        <w:ind w:hanging="480"/>
        <w:rPr>
          <w:rFonts w:eastAsia="Times New Roman" w:cs="Times New Roman"/>
          <w:szCs w:val="24"/>
        </w:rPr>
      </w:pPr>
      <w:r w:rsidRPr="00D77AB8">
        <w:rPr>
          <w:rFonts w:cs="Times New Roman"/>
          <w:szCs w:val="24"/>
        </w:rPr>
        <w:t xml:space="preserve">Ishkova, M., Loh, V., White, G., Lawton, O., Tyson, J., </w:t>
      </w:r>
      <w:r w:rsidR="00126043">
        <w:rPr>
          <w:rFonts w:cs="Times New Roman"/>
          <w:szCs w:val="24"/>
        </w:rPr>
        <w:t xml:space="preserve">&amp; </w:t>
      </w:r>
      <w:r w:rsidRPr="00D77AB8">
        <w:rPr>
          <w:rFonts w:cs="Times New Roman"/>
          <w:szCs w:val="24"/>
        </w:rPr>
        <w:t xml:space="preserve">Fung, H. (2021). To </w:t>
      </w:r>
      <w:r w:rsidR="00126043">
        <w:rPr>
          <w:rFonts w:cs="Times New Roman"/>
          <w:szCs w:val="24"/>
        </w:rPr>
        <w:t>f</w:t>
      </w:r>
      <w:r w:rsidRPr="00D77AB8">
        <w:rPr>
          <w:rFonts w:cs="Times New Roman"/>
          <w:szCs w:val="24"/>
        </w:rPr>
        <w:t xml:space="preserve">lip </w:t>
      </w:r>
      <w:r w:rsidR="00126043">
        <w:rPr>
          <w:rFonts w:cs="Times New Roman"/>
          <w:szCs w:val="24"/>
        </w:rPr>
        <w:t>o</w:t>
      </w:r>
      <w:r w:rsidRPr="00D77AB8">
        <w:rPr>
          <w:rFonts w:cs="Times New Roman"/>
          <w:szCs w:val="24"/>
        </w:rPr>
        <w:t xml:space="preserve">r </w:t>
      </w:r>
      <w:r w:rsidR="00126043">
        <w:rPr>
          <w:rFonts w:cs="Times New Roman"/>
          <w:szCs w:val="24"/>
        </w:rPr>
        <w:t>n</w:t>
      </w:r>
      <w:r w:rsidRPr="00D77AB8">
        <w:rPr>
          <w:rFonts w:cs="Times New Roman"/>
          <w:szCs w:val="24"/>
        </w:rPr>
        <w:t xml:space="preserve">ot </w:t>
      </w:r>
      <w:r w:rsidR="00126043">
        <w:rPr>
          <w:rFonts w:cs="Times New Roman"/>
          <w:szCs w:val="24"/>
        </w:rPr>
        <w:t>t</w:t>
      </w:r>
      <w:r w:rsidRPr="00D77AB8">
        <w:rPr>
          <w:rFonts w:cs="Times New Roman"/>
          <w:szCs w:val="24"/>
        </w:rPr>
        <w:t xml:space="preserve">o </w:t>
      </w:r>
      <w:r w:rsidR="00126043">
        <w:rPr>
          <w:rFonts w:cs="Times New Roman"/>
          <w:szCs w:val="24"/>
        </w:rPr>
        <w:t>f</w:t>
      </w:r>
      <w:r w:rsidRPr="00D77AB8">
        <w:rPr>
          <w:rFonts w:cs="Times New Roman"/>
          <w:szCs w:val="24"/>
        </w:rPr>
        <w:t xml:space="preserve">lip? Reflecting </w:t>
      </w:r>
      <w:r w:rsidR="00126043">
        <w:rPr>
          <w:rFonts w:cs="Times New Roman"/>
          <w:szCs w:val="24"/>
        </w:rPr>
        <w:t>o</w:t>
      </w:r>
      <w:r w:rsidRPr="00D77AB8">
        <w:rPr>
          <w:rFonts w:cs="Times New Roman"/>
          <w:szCs w:val="24"/>
        </w:rPr>
        <w:t xml:space="preserve">n </w:t>
      </w:r>
      <w:proofErr w:type="spellStart"/>
      <w:r w:rsidRPr="00D77AB8">
        <w:rPr>
          <w:rFonts w:cs="Times New Roman"/>
          <w:szCs w:val="24"/>
        </w:rPr>
        <w:t>PALPable</w:t>
      </w:r>
      <w:proofErr w:type="spellEnd"/>
      <w:r w:rsidRPr="00D77AB8">
        <w:rPr>
          <w:rFonts w:cs="Times New Roman"/>
          <w:szCs w:val="24"/>
        </w:rPr>
        <w:t xml:space="preserve"> </w:t>
      </w:r>
      <w:r w:rsidR="00126043">
        <w:rPr>
          <w:rFonts w:cs="Times New Roman"/>
          <w:szCs w:val="24"/>
        </w:rPr>
        <w:t>o</w:t>
      </w:r>
      <w:r w:rsidRPr="00D77AB8">
        <w:rPr>
          <w:rFonts w:cs="Times New Roman"/>
          <w:szCs w:val="24"/>
        </w:rPr>
        <w:t xml:space="preserve">utcomes </w:t>
      </w:r>
      <w:r w:rsidR="00126043">
        <w:rPr>
          <w:rFonts w:cs="Times New Roman"/>
          <w:szCs w:val="24"/>
        </w:rPr>
        <w:t>o</w:t>
      </w:r>
      <w:r w:rsidRPr="00D77AB8">
        <w:rPr>
          <w:rFonts w:cs="Times New Roman"/>
          <w:szCs w:val="24"/>
        </w:rPr>
        <w:t xml:space="preserve">f </w:t>
      </w:r>
      <w:r w:rsidR="00126043">
        <w:rPr>
          <w:rFonts w:cs="Times New Roman"/>
          <w:szCs w:val="24"/>
        </w:rPr>
        <w:t>f</w:t>
      </w:r>
      <w:r w:rsidRPr="00D77AB8">
        <w:rPr>
          <w:rFonts w:cs="Times New Roman"/>
          <w:szCs w:val="24"/>
        </w:rPr>
        <w:t xml:space="preserve">lipping </w:t>
      </w:r>
      <w:r w:rsidR="00126043">
        <w:rPr>
          <w:rFonts w:cs="Times New Roman"/>
          <w:szCs w:val="24"/>
        </w:rPr>
        <w:t>t</w:t>
      </w:r>
      <w:r w:rsidRPr="00D77AB8">
        <w:rPr>
          <w:rFonts w:cs="Times New Roman"/>
          <w:szCs w:val="24"/>
        </w:rPr>
        <w:t xml:space="preserve">he </w:t>
      </w:r>
      <w:r w:rsidR="00126043">
        <w:rPr>
          <w:rFonts w:cs="Times New Roman"/>
          <w:szCs w:val="24"/>
        </w:rPr>
        <w:t>c</w:t>
      </w:r>
      <w:r w:rsidRPr="00D77AB8">
        <w:rPr>
          <w:rFonts w:cs="Times New Roman"/>
          <w:szCs w:val="24"/>
        </w:rPr>
        <w:t xml:space="preserve">lassroom </w:t>
      </w:r>
      <w:r w:rsidR="00126043">
        <w:rPr>
          <w:rFonts w:cs="Times New Roman"/>
          <w:szCs w:val="24"/>
        </w:rPr>
        <w:t>d</w:t>
      </w:r>
      <w:r w:rsidRPr="00D77AB8">
        <w:rPr>
          <w:rFonts w:cs="Times New Roman"/>
          <w:szCs w:val="24"/>
        </w:rPr>
        <w:t xml:space="preserve">uring </w:t>
      </w:r>
      <w:r w:rsidR="00126043">
        <w:rPr>
          <w:rFonts w:cs="Times New Roman"/>
          <w:szCs w:val="24"/>
        </w:rPr>
        <w:t>t</w:t>
      </w:r>
      <w:r w:rsidRPr="00D77AB8">
        <w:rPr>
          <w:rFonts w:cs="Times New Roman"/>
          <w:szCs w:val="24"/>
        </w:rPr>
        <w:t xml:space="preserve">he </w:t>
      </w:r>
      <w:r w:rsidR="00126043">
        <w:rPr>
          <w:rFonts w:cs="Times New Roman"/>
          <w:szCs w:val="24"/>
        </w:rPr>
        <w:t>p</w:t>
      </w:r>
      <w:r w:rsidRPr="00D77AB8">
        <w:rPr>
          <w:rFonts w:cs="Times New Roman"/>
          <w:szCs w:val="24"/>
        </w:rPr>
        <w:t xml:space="preserve">andemic. </w:t>
      </w:r>
      <w:r w:rsidRPr="00D77AB8">
        <w:rPr>
          <w:rStyle w:val="Emphasis"/>
          <w:rFonts w:cs="Times New Roman"/>
          <w:szCs w:val="24"/>
        </w:rPr>
        <w:t>Journal of Perspectives in Applied Academic Practice</w:t>
      </w:r>
      <w:r w:rsidRPr="00D77AB8">
        <w:rPr>
          <w:rFonts w:cs="Times New Roman"/>
          <w:szCs w:val="24"/>
        </w:rPr>
        <w:t xml:space="preserve">, </w:t>
      </w:r>
      <w:r w:rsidRPr="00546D85">
        <w:rPr>
          <w:rFonts w:cs="Times New Roman"/>
          <w:i/>
          <w:iCs/>
          <w:szCs w:val="24"/>
        </w:rPr>
        <w:t>9</w:t>
      </w:r>
      <w:r w:rsidRPr="00D77AB8">
        <w:rPr>
          <w:rFonts w:cs="Times New Roman"/>
          <w:szCs w:val="24"/>
        </w:rPr>
        <w:t>(2), 146-158</w:t>
      </w:r>
    </w:p>
    <w:p w14:paraId="225200AE" w14:textId="73F7189B" w:rsidR="002526B0" w:rsidRPr="00D77AB8" w:rsidRDefault="002526B0" w:rsidP="002526B0">
      <w:pPr>
        <w:autoSpaceDE w:val="0"/>
        <w:autoSpaceDN w:val="0"/>
        <w:ind w:hanging="480"/>
        <w:rPr>
          <w:rFonts w:cs="Times New Roman"/>
          <w:szCs w:val="24"/>
        </w:rPr>
      </w:pPr>
      <w:r w:rsidRPr="00D77AB8">
        <w:rPr>
          <w:rFonts w:cs="Times New Roman"/>
          <w:szCs w:val="24"/>
        </w:rPr>
        <w:t xml:space="preserve">Ishkova, M., Ng, J., Loh, V., </w:t>
      </w:r>
      <w:r w:rsidR="00126043">
        <w:rPr>
          <w:rFonts w:cs="Times New Roman"/>
          <w:szCs w:val="24"/>
        </w:rPr>
        <w:t xml:space="preserve">&amp; </w:t>
      </w:r>
      <w:r w:rsidRPr="00D77AB8">
        <w:rPr>
          <w:rFonts w:cs="Times New Roman"/>
          <w:szCs w:val="24"/>
        </w:rPr>
        <w:t xml:space="preserve">Fernando, M. (2022). The </w:t>
      </w:r>
      <w:r w:rsidR="00126043">
        <w:rPr>
          <w:rFonts w:cs="Times New Roman"/>
          <w:szCs w:val="24"/>
        </w:rPr>
        <w:t>t</w:t>
      </w:r>
      <w:r w:rsidRPr="00D77AB8">
        <w:rPr>
          <w:rFonts w:cs="Times New Roman"/>
          <w:szCs w:val="24"/>
        </w:rPr>
        <w:t xml:space="preserve">ransformative </w:t>
      </w:r>
      <w:r w:rsidR="00126043">
        <w:rPr>
          <w:rFonts w:cs="Times New Roman"/>
          <w:szCs w:val="24"/>
        </w:rPr>
        <w:t>p</w:t>
      </w:r>
      <w:r w:rsidRPr="00D77AB8">
        <w:rPr>
          <w:rFonts w:cs="Times New Roman"/>
          <w:szCs w:val="24"/>
        </w:rPr>
        <w:t xml:space="preserve">ower of </w:t>
      </w:r>
      <w:r w:rsidR="00126043">
        <w:rPr>
          <w:rFonts w:cs="Times New Roman"/>
          <w:szCs w:val="24"/>
        </w:rPr>
        <w:t>f</w:t>
      </w:r>
      <w:r w:rsidRPr="00D77AB8">
        <w:rPr>
          <w:rFonts w:cs="Times New Roman"/>
          <w:szCs w:val="24"/>
        </w:rPr>
        <w:t xml:space="preserve">eedback </w:t>
      </w:r>
      <w:r w:rsidR="00126043">
        <w:rPr>
          <w:rFonts w:cs="Times New Roman"/>
          <w:szCs w:val="24"/>
        </w:rPr>
        <w:t>h</w:t>
      </w:r>
      <w:r w:rsidRPr="00D77AB8">
        <w:rPr>
          <w:rFonts w:cs="Times New Roman"/>
          <w:szCs w:val="24"/>
        </w:rPr>
        <w:t xml:space="preserve">ugs: Play with the Student Relationship Engagement System (SRES) to experience the magic of tech-enabled ongoing peer-feedback. </w:t>
      </w:r>
      <w:r w:rsidRPr="00D77AB8">
        <w:rPr>
          <w:rFonts w:cs="Times New Roman"/>
          <w:i/>
          <w:iCs/>
          <w:szCs w:val="24"/>
        </w:rPr>
        <w:t xml:space="preserve">5th International Active Learning Conference 2022, </w:t>
      </w:r>
      <w:r w:rsidRPr="00D77AB8">
        <w:rPr>
          <w:rFonts w:cs="Times New Roman"/>
          <w:szCs w:val="24"/>
        </w:rPr>
        <w:t>United Kingdom: Active Learning Network.</w:t>
      </w:r>
    </w:p>
    <w:p w14:paraId="23BD2760" w14:textId="77777777" w:rsidR="008419E8" w:rsidRPr="00D77AB8" w:rsidRDefault="008419E8" w:rsidP="008419E8">
      <w:pPr>
        <w:autoSpaceDE w:val="0"/>
        <w:autoSpaceDN w:val="0"/>
        <w:ind w:hanging="480"/>
        <w:rPr>
          <w:rFonts w:eastAsia="Times New Roman" w:cs="Times New Roman"/>
          <w:szCs w:val="24"/>
        </w:rPr>
      </w:pPr>
      <w:r w:rsidRPr="00D77AB8">
        <w:rPr>
          <w:rFonts w:eastAsia="Times New Roman" w:cs="Times New Roman"/>
          <w:szCs w:val="24"/>
        </w:rPr>
        <w:t>Matthews, K. E., Dwyer, A., Russell, S., &amp; Enright, E. (2018). It is a complicated thing: Leaders’</w:t>
      </w:r>
    </w:p>
    <w:p w14:paraId="2A9C5343" w14:textId="77777777" w:rsidR="008419E8" w:rsidRPr="00D77AB8" w:rsidRDefault="008419E8" w:rsidP="00D77AB8">
      <w:pPr>
        <w:autoSpaceDE w:val="0"/>
        <w:autoSpaceDN w:val="0"/>
        <w:rPr>
          <w:rFonts w:eastAsia="Times New Roman" w:cs="Times New Roman"/>
          <w:szCs w:val="24"/>
        </w:rPr>
      </w:pPr>
      <w:r w:rsidRPr="00D77AB8">
        <w:rPr>
          <w:rFonts w:eastAsia="Times New Roman" w:cs="Times New Roman"/>
          <w:szCs w:val="24"/>
        </w:rPr>
        <w:t xml:space="preserve">conceptions of students as partners in the neoliberal university. </w:t>
      </w:r>
      <w:r w:rsidRPr="00D77AB8">
        <w:rPr>
          <w:rFonts w:eastAsia="Times New Roman" w:cs="Times New Roman"/>
          <w:i/>
          <w:iCs/>
          <w:szCs w:val="24"/>
        </w:rPr>
        <w:t>Studies in Higher Education</w:t>
      </w:r>
      <w:r w:rsidRPr="00D77AB8">
        <w:rPr>
          <w:rFonts w:eastAsia="Times New Roman" w:cs="Times New Roman"/>
          <w:szCs w:val="24"/>
        </w:rPr>
        <w:t>,</w:t>
      </w:r>
    </w:p>
    <w:p w14:paraId="7B794645" w14:textId="07B3C14B" w:rsidR="008419E8" w:rsidRPr="00D77AB8" w:rsidRDefault="008419E8" w:rsidP="00D77AB8">
      <w:pPr>
        <w:autoSpaceDE w:val="0"/>
        <w:autoSpaceDN w:val="0"/>
        <w:rPr>
          <w:rFonts w:eastAsia="Times New Roman" w:cs="Times New Roman"/>
          <w:szCs w:val="24"/>
        </w:rPr>
      </w:pPr>
      <w:r w:rsidRPr="00546D85">
        <w:rPr>
          <w:rFonts w:eastAsia="Times New Roman" w:cs="Times New Roman"/>
          <w:i/>
          <w:iCs/>
          <w:szCs w:val="24"/>
        </w:rPr>
        <w:t>44</w:t>
      </w:r>
      <w:r w:rsidRPr="00D77AB8">
        <w:rPr>
          <w:rFonts w:eastAsia="Times New Roman" w:cs="Times New Roman"/>
          <w:szCs w:val="24"/>
        </w:rPr>
        <w:t xml:space="preserve">(12), 2196–2207. </w:t>
      </w:r>
      <w:hyperlink r:id="rId13" w:history="1">
        <w:r w:rsidR="00D77AB8" w:rsidRPr="00FD0870">
          <w:rPr>
            <w:rStyle w:val="Hyperlink"/>
            <w:rFonts w:eastAsia="Times New Roman" w:cs="Times New Roman"/>
            <w:szCs w:val="24"/>
          </w:rPr>
          <w:t>https://doi.org/10.1080/03075079.2018.1482268</w:t>
        </w:r>
      </w:hyperlink>
      <w:r w:rsidR="00D77AB8">
        <w:rPr>
          <w:rFonts w:eastAsia="Times New Roman" w:cs="Times New Roman"/>
          <w:szCs w:val="24"/>
        </w:rPr>
        <w:t xml:space="preserve"> </w:t>
      </w:r>
    </w:p>
    <w:p w14:paraId="30751A28" w14:textId="69FEA83B" w:rsidR="00016CED" w:rsidRPr="009A7962" w:rsidRDefault="0015542B" w:rsidP="00016CED">
      <w:pPr>
        <w:autoSpaceDE w:val="0"/>
        <w:autoSpaceDN w:val="0"/>
        <w:ind w:hanging="480"/>
        <w:rPr>
          <w:rFonts w:eastAsia="Times New Roman" w:cs="Times New Roman"/>
          <w:szCs w:val="24"/>
        </w:rPr>
      </w:pPr>
      <w:proofErr w:type="spellStart"/>
      <w:r>
        <w:rPr>
          <w:rFonts w:eastAsia="Times New Roman" w:cs="Times New Roman"/>
          <w:szCs w:val="24"/>
        </w:rPr>
        <w:t>O</w:t>
      </w:r>
      <w:r w:rsidR="002526B0" w:rsidRPr="009A7962">
        <w:rPr>
          <w:rFonts w:eastAsia="Times New Roman" w:cs="Times New Roman"/>
          <w:szCs w:val="24"/>
        </w:rPr>
        <w:t>hland</w:t>
      </w:r>
      <w:proofErr w:type="spellEnd"/>
      <w:r w:rsidR="002526B0" w:rsidRPr="009A7962">
        <w:rPr>
          <w:rFonts w:eastAsia="Times New Roman" w:cs="Times New Roman"/>
          <w:szCs w:val="24"/>
        </w:rPr>
        <w:t xml:space="preserve">, M., Loughry, M., </w:t>
      </w:r>
      <w:proofErr w:type="spellStart"/>
      <w:r w:rsidR="002526B0" w:rsidRPr="009A7962">
        <w:rPr>
          <w:rFonts w:eastAsia="Times New Roman" w:cs="Times New Roman"/>
          <w:szCs w:val="24"/>
        </w:rPr>
        <w:t>Woehr</w:t>
      </w:r>
      <w:proofErr w:type="spellEnd"/>
      <w:r w:rsidR="002526B0" w:rsidRPr="009A7962">
        <w:rPr>
          <w:rFonts w:eastAsia="Times New Roman" w:cs="Times New Roman"/>
          <w:szCs w:val="24"/>
        </w:rPr>
        <w:t xml:space="preserve">, D., Bullard, L. G., </w:t>
      </w:r>
      <w:proofErr w:type="spellStart"/>
      <w:r w:rsidR="002526B0" w:rsidRPr="009A7962">
        <w:rPr>
          <w:rFonts w:eastAsia="Times New Roman" w:cs="Times New Roman"/>
          <w:szCs w:val="24"/>
        </w:rPr>
        <w:t>Finelli</w:t>
      </w:r>
      <w:proofErr w:type="spellEnd"/>
      <w:r w:rsidR="002526B0" w:rsidRPr="009A7962">
        <w:rPr>
          <w:rFonts w:eastAsia="Times New Roman" w:cs="Times New Roman"/>
          <w:szCs w:val="24"/>
        </w:rPr>
        <w:t xml:space="preserve">, C. J., Layton, R., Pomeranz, H. R., &amp; </w:t>
      </w:r>
      <w:proofErr w:type="spellStart"/>
      <w:r w:rsidR="002526B0" w:rsidRPr="009A7962">
        <w:rPr>
          <w:rFonts w:eastAsia="Times New Roman" w:cs="Times New Roman"/>
          <w:szCs w:val="24"/>
        </w:rPr>
        <w:t>Schmucker</w:t>
      </w:r>
      <w:proofErr w:type="spellEnd"/>
      <w:r w:rsidR="002526B0" w:rsidRPr="009A7962">
        <w:rPr>
          <w:rFonts w:eastAsia="Times New Roman" w:cs="Times New Roman"/>
          <w:szCs w:val="24"/>
        </w:rPr>
        <w:t xml:space="preserve">, D. G. (2012). The comprehensive assessment of team member effectiveness: Development of a </w:t>
      </w:r>
      <w:proofErr w:type="spellStart"/>
      <w:r w:rsidR="002526B0" w:rsidRPr="009A7962">
        <w:rPr>
          <w:rFonts w:eastAsia="Times New Roman" w:cs="Times New Roman"/>
          <w:szCs w:val="24"/>
        </w:rPr>
        <w:t>behaviorally</w:t>
      </w:r>
      <w:proofErr w:type="spellEnd"/>
      <w:r w:rsidR="002526B0" w:rsidRPr="009A7962">
        <w:rPr>
          <w:rFonts w:eastAsia="Times New Roman" w:cs="Times New Roman"/>
          <w:szCs w:val="24"/>
        </w:rPr>
        <w:t xml:space="preserve"> anchored rating scale for self- and peer evaluation. </w:t>
      </w:r>
      <w:r w:rsidR="002526B0" w:rsidRPr="009A7962">
        <w:rPr>
          <w:rFonts w:eastAsia="Times New Roman" w:cs="Times New Roman"/>
          <w:i/>
          <w:iCs/>
          <w:szCs w:val="24"/>
        </w:rPr>
        <w:t>Academy of Management Learning &amp; Education</w:t>
      </w:r>
      <w:r w:rsidR="002526B0" w:rsidRPr="009A7962">
        <w:rPr>
          <w:rFonts w:eastAsia="Times New Roman" w:cs="Times New Roman"/>
          <w:szCs w:val="24"/>
        </w:rPr>
        <w:t xml:space="preserve">, </w:t>
      </w:r>
      <w:r w:rsidR="002526B0" w:rsidRPr="009A7962">
        <w:rPr>
          <w:rFonts w:eastAsia="Times New Roman" w:cs="Times New Roman"/>
          <w:i/>
          <w:iCs/>
          <w:szCs w:val="24"/>
        </w:rPr>
        <w:t>11</w:t>
      </w:r>
      <w:r w:rsidR="002526B0" w:rsidRPr="009A7962">
        <w:rPr>
          <w:rFonts w:eastAsia="Times New Roman" w:cs="Times New Roman"/>
          <w:szCs w:val="24"/>
        </w:rPr>
        <w:t xml:space="preserve">(4), 609–630. </w:t>
      </w:r>
      <w:hyperlink r:id="rId14" w:history="1">
        <w:r w:rsidR="00016CED" w:rsidRPr="00D77AB8">
          <w:rPr>
            <w:rStyle w:val="Hyperlink"/>
            <w:rFonts w:eastAsia="Times New Roman" w:cs="Times New Roman"/>
            <w:color w:val="auto"/>
            <w:szCs w:val="24"/>
          </w:rPr>
          <w:t>https://doi.org/10.5465/amle.2010.0177</w:t>
        </w:r>
      </w:hyperlink>
    </w:p>
    <w:p w14:paraId="5E61272A" w14:textId="1EA6C6CC" w:rsidR="00016CED" w:rsidRPr="00D77AB8" w:rsidRDefault="00016CED" w:rsidP="00D77AB8">
      <w:pPr>
        <w:autoSpaceDE w:val="0"/>
        <w:autoSpaceDN w:val="0"/>
        <w:ind w:hanging="480"/>
        <w:rPr>
          <w:rFonts w:eastAsia="Times New Roman" w:cs="Times New Roman"/>
          <w:szCs w:val="24"/>
        </w:rPr>
      </w:pPr>
      <w:r w:rsidRPr="009A7962">
        <w:rPr>
          <w:rFonts w:cs="Times New Roman"/>
          <w:szCs w:val="24"/>
        </w:rPr>
        <w:t xml:space="preserve">Quitch (2020). Our story. Retrieved from: </w:t>
      </w:r>
      <w:hyperlink r:id="rId15" w:history="1">
        <w:r w:rsidRPr="009A7962">
          <w:rPr>
            <w:rStyle w:val="Hyperlink"/>
            <w:rFonts w:cs="Times New Roman"/>
            <w:color w:val="auto"/>
            <w:szCs w:val="24"/>
          </w:rPr>
          <w:t>https://quitch.com/about/</w:t>
        </w:r>
      </w:hyperlink>
      <w:r w:rsidRPr="009A7962">
        <w:rPr>
          <w:rFonts w:cs="Times New Roman"/>
          <w:szCs w:val="24"/>
        </w:rPr>
        <w:t xml:space="preserve"> </w:t>
      </w:r>
    </w:p>
    <w:p w14:paraId="5C3DEFA4" w14:textId="1AB61497" w:rsidR="00016CED" w:rsidRPr="00D77AB8" w:rsidRDefault="00016CED" w:rsidP="00D77AB8">
      <w:pPr>
        <w:autoSpaceDE w:val="0"/>
        <w:autoSpaceDN w:val="0"/>
        <w:ind w:hanging="480"/>
        <w:rPr>
          <w:rFonts w:eastAsia="Times New Roman" w:cs="Times New Roman"/>
          <w:szCs w:val="24"/>
        </w:rPr>
      </w:pPr>
      <w:r w:rsidRPr="009A7962">
        <w:rPr>
          <w:rFonts w:cs="Times New Roman"/>
          <w:szCs w:val="24"/>
        </w:rPr>
        <w:t xml:space="preserve">Student Relationship Engagement System (SRES). (2022). </w:t>
      </w:r>
      <w:r w:rsidRPr="009A7962">
        <w:rPr>
          <w:rFonts w:cs="Times New Roman"/>
          <w:i/>
          <w:iCs/>
          <w:szCs w:val="24"/>
        </w:rPr>
        <w:t>License</w:t>
      </w:r>
      <w:r w:rsidRPr="009A7962">
        <w:rPr>
          <w:rFonts w:cs="Times New Roman"/>
          <w:szCs w:val="24"/>
        </w:rPr>
        <w:t xml:space="preserve">. Retrieved from: </w:t>
      </w:r>
      <w:hyperlink r:id="rId16" w:history="1">
        <w:r w:rsidRPr="009A7962">
          <w:rPr>
            <w:rStyle w:val="Hyperlink"/>
            <w:rFonts w:cs="Times New Roman"/>
            <w:color w:val="auto"/>
            <w:szCs w:val="24"/>
          </w:rPr>
          <w:t>https://sres.io/licence/</w:t>
        </w:r>
      </w:hyperlink>
    </w:p>
    <w:p w14:paraId="11732E57" w14:textId="77777777" w:rsidR="008419E8" w:rsidRPr="00D77AB8" w:rsidRDefault="002526B0" w:rsidP="008419E8">
      <w:pPr>
        <w:autoSpaceDE w:val="0"/>
        <w:autoSpaceDN w:val="0"/>
        <w:ind w:hanging="480"/>
        <w:rPr>
          <w:rStyle w:val="Hyperlink"/>
          <w:rFonts w:eastAsia="Times New Roman" w:cs="Times New Roman"/>
          <w:color w:val="auto"/>
          <w:szCs w:val="24"/>
        </w:rPr>
      </w:pPr>
      <w:r w:rsidRPr="009A7962">
        <w:rPr>
          <w:rFonts w:eastAsia="Times New Roman" w:cs="Times New Roman"/>
          <w:szCs w:val="24"/>
        </w:rPr>
        <w:lastRenderedPageBreak/>
        <w:t xml:space="preserve">Sridharan, B., Tai, J., &amp; </w:t>
      </w:r>
      <w:proofErr w:type="spellStart"/>
      <w:r w:rsidRPr="009A7962">
        <w:rPr>
          <w:rFonts w:eastAsia="Times New Roman" w:cs="Times New Roman"/>
          <w:szCs w:val="24"/>
        </w:rPr>
        <w:t>Boud</w:t>
      </w:r>
      <w:proofErr w:type="spellEnd"/>
      <w:r w:rsidRPr="009A7962">
        <w:rPr>
          <w:rFonts w:eastAsia="Times New Roman" w:cs="Times New Roman"/>
          <w:szCs w:val="24"/>
        </w:rPr>
        <w:t xml:space="preserve">, D. (2018). Does the use of summative peer assessment in collaborative group work inhibit good judgement? </w:t>
      </w:r>
      <w:r w:rsidRPr="009A7962">
        <w:rPr>
          <w:rFonts w:eastAsia="Times New Roman" w:cs="Times New Roman"/>
          <w:i/>
          <w:iCs/>
          <w:szCs w:val="24"/>
        </w:rPr>
        <w:t>Higher Education</w:t>
      </w:r>
      <w:r w:rsidRPr="009A7962">
        <w:rPr>
          <w:rFonts w:eastAsia="Times New Roman" w:cs="Times New Roman"/>
          <w:szCs w:val="24"/>
        </w:rPr>
        <w:t xml:space="preserve">, </w:t>
      </w:r>
      <w:r w:rsidRPr="009A7962">
        <w:rPr>
          <w:rFonts w:eastAsia="Times New Roman" w:cs="Times New Roman"/>
          <w:i/>
          <w:iCs/>
          <w:szCs w:val="24"/>
        </w:rPr>
        <w:t>77</w:t>
      </w:r>
      <w:r w:rsidRPr="009A7962">
        <w:rPr>
          <w:rFonts w:eastAsia="Times New Roman" w:cs="Times New Roman"/>
          <w:szCs w:val="24"/>
        </w:rPr>
        <w:t xml:space="preserve">(5), 853–870. </w:t>
      </w:r>
      <w:hyperlink r:id="rId17" w:history="1">
        <w:r w:rsidRPr="00D77AB8">
          <w:rPr>
            <w:rStyle w:val="Hyperlink"/>
            <w:rFonts w:eastAsia="Times New Roman" w:cs="Times New Roman"/>
            <w:color w:val="auto"/>
            <w:szCs w:val="24"/>
          </w:rPr>
          <w:t>https://doi.org/10.1007/s10734-018-0305-7</w:t>
        </w:r>
      </w:hyperlink>
    </w:p>
    <w:p w14:paraId="593DC434" w14:textId="3D96897E" w:rsidR="008419E8" w:rsidRPr="00D77AB8" w:rsidRDefault="008419E8" w:rsidP="008419E8">
      <w:pPr>
        <w:autoSpaceDE w:val="0"/>
        <w:autoSpaceDN w:val="0"/>
        <w:ind w:hanging="480"/>
        <w:rPr>
          <w:rFonts w:cs="Times New Roman"/>
          <w:szCs w:val="24"/>
        </w:rPr>
      </w:pPr>
      <w:r w:rsidRPr="00D77AB8">
        <w:rPr>
          <w:rFonts w:eastAsia="Times New Roman" w:cs="Times New Roman"/>
          <w:szCs w:val="24"/>
        </w:rPr>
        <w:t xml:space="preserve">White, M. </w:t>
      </w:r>
      <w:r w:rsidRPr="009A7962">
        <w:rPr>
          <w:rFonts w:eastAsia="Times New Roman" w:cs="Times New Roman"/>
          <w:szCs w:val="24"/>
        </w:rPr>
        <w:t>(</w:t>
      </w:r>
      <w:r w:rsidRPr="00D77AB8">
        <w:rPr>
          <w:rFonts w:eastAsia="Times New Roman" w:cs="Times New Roman"/>
          <w:szCs w:val="24"/>
        </w:rPr>
        <w:t>2018</w:t>
      </w:r>
      <w:r w:rsidRPr="009A7962">
        <w:rPr>
          <w:rFonts w:eastAsia="Times New Roman" w:cs="Times New Roman"/>
          <w:szCs w:val="24"/>
        </w:rPr>
        <w:t>)</w:t>
      </w:r>
      <w:r w:rsidRPr="00D77AB8">
        <w:rPr>
          <w:rFonts w:eastAsia="Times New Roman" w:cs="Times New Roman"/>
          <w:szCs w:val="24"/>
        </w:rPr>
        <w:t xml:space="preserve">. Student </w:t>
      </w:r>
      <w:r w:rsidR="00126043">
        <w:rPr>
          <w:rFonts w:eastAsia="Times New Roman" w:cs="Times New Roman"/>
          <w:szCs w:val="24"/>
        </w:rPr>
        <w:t>p</w:t>
      </w:r>
      <w:r w:rsidRPr="00D77AB8">
        <w:rPr>
          <w:rFonts w:eastAsia="Times New Roman" w:cs="Times New Roman"/>
          <w:szCs w:val="24"/>
        </w:rPr>
        <w:t xml:space="preserve">artnership, </w:t>
      </w:r>
      <w:proofErr w:type="gramStart"/>
      <w:r w:rsidR="00126043">
        <w:rPr>
          <w:rFonts w:eastAsia="Times New Roman" w:cs="Times New Roman"/>
          <w:szCs w:val="24"/>
        </w:rPr>
        <w:t>t</w:t>
      </w:r>
      <w:r w:rsidRPr="00D77AB8">
        <w:rPr>
          <w:rFonts w:eastAsia="Times New Roman" w:cs="Times New Roman"/>
          <w:szCs w:val="24"/>
        </w:rPr>
        <w:t>rust</w:t>
      </w:r>
      <w:proofErr w:type="gramEnd"/>
      <w:r w:rsidRPr="00D77AB8">
        <w:rPr>
          <w:rFonts w:eastAsia="Times New Roman" w:cs="Times New Roman"/>
          <w:szCs w:val="24"/>
        </w:rPr>
        <w:t xml:space="preserve"> and </w:t>
      </w:r>
      <w:r w:rsidR="00126043">
        <w:rPr>
          <w:rFonts w:eastAsia="Times New Roman" w:cs="Times New Roman"/>
          <w:szCs w:val="24"/>
        </w:rPr>
        <w:t>a</w:t>
      </w:r>
      <w:r w:rsidRPr="00D77AB8">
        <w:rPr>
          <w:rFonts w:eastAsia="Times New Roman" w:cs="Times New Roman"/>
          <w:szCs w:val="24"/>
        </w:rPr>
        <w:t xml:space="preserve">uthority in </w:t>
      </w:r>
      <w:r w:rsidR="00126043">
        <w:rPr>
          <w:rFonts w:eastAsia="Times New Roman" w:cs="Times New Roman"/>
          <w:szCs w:val="24"/>
        </w:rPr>
        <w:t>u</w:t>
      </w:r>
      <w:r w:rsidRPr="00D77AB8">
        <w:rPr>
          <w:rFonts w:eastAsia="Times New Roman" w:cs="Times New Roman"/>
          <w:szCs w:val="24"/>
        </w:rPr>
        <w:t xml:space="preserve">niversities. </w:t>
      </w:r>
      <w:r w:rsidRPr="00D77AB8">
        <w:rPr>
          <w:rFonts w:eastAsia="Times New Roman" w:cs="Times New Roman"/>
          <w:i/>
          <w:iCs/>
          <w:szCs w:val="24"/>
        </w:rPr>
        <w:t>Educational Philosophy and Theory</w:t>
      </w:r>
      <w:r w:rsidRPr="009A7962">
        <w:rPr>
          <w:rFonts w:eastAsia="Times New Roman" w:cs="Times New Roman"/>
          <w:szCs w:val="24"/>
        </w:rPr>
        <w:t>,</w:t>
      </w:r>
      <w:r w:rsidRPr="00D77AB8">
        <w:rPr>
          <w:rFonts w:eastAsia="Times New Roman" w:cs="Times New Roman"/>
          <w:szCs w:val="24"/>
        </w:rPr>
        <w:t xml:space="preserve"> </w:t>
      </w:r>
      <w:r w:rsidRPr="00546D85">
        <w:rPr>
          <w:rFonts w:eastAsia="Times New Roman" w:cs="Times New Roman"/>
          <w:i/>
          <w:iCs/>
          <w:szCs w:val="24"/>
        </w:rPr>
        <w:t>50</w:t>
      </w:r>
      <w:r w:rsidRPr="00D77AB8">
        <w:rPr>
          <w:rFonts w:eastAsia="Times New Roman" w:cs="Times New Roman"/>
          <w:szCs w:val="24"/>
        </w:rPr>
        <w:t>(2): 163–73. doi:10.1080/00131857.2016.1153451</w:t>
      </w:r>
    </w:p>
    <w:p w14:paraId="0118B2D5" w14:textId="6AA2E9E0" w:rsidR="000D4EA1" w:rsidRPr="00D77AB8" w:rsidRDefault="000D4EA1" w:rsidP="000D4EA1">
      <w:pPr>
        <w:autoSpaceDE w:val="0"/>
        <w:autoSpaceDN w:val="0"/>
        <w:ind w:hanging="480"/>
        <w:rPr>
          <w:rFonts w:eastAsia="Times New Roman" w:cs="Times New Roman"/>
          <w:szCs w:val="24"/>
          <w:u w:val="single"/>
        </w:rPr>
      </w:pPr>
      <w:r w:rsidRPr="009A7962">
        <w:rPr>
          <w:rFonts w:eastAsia="Times New Roman" w:cs="Times New Roman"/>
          <w:szCs w:val="24"/>
        </w:rPr>
        <w:t>Wust, A., Swart, T., Oates, G., &amp; Lottering, N. (2021). On becoming Quitch-</w:t>
      </w:r>
      <w:proofErr w:type="spellStart"/>
      <w:r w:rsidRPr="009A7962">
        <w:rPr>
          <w:rFonts w:eastAsia="Times New Roman" w:cs="Times New Roman"/>
          <w:szCs w:val="24"/>
        </w:rPr>
        <w:t>perts</w:t>
      </w:r>
      <w:proofErr w:type="spellEnd"/>
      <w:r w:rsidRPr="009A7962">
        <w:rPr>
          <w:rFonts w:eastAsia="Times New Roman" w:cs="Times New Roman"/>
          <w:szCs w:val="24"/>
        </w:rPr>
        <w:t xml:space="preserve">: The perspective of a peer leader during remote learning. </w:t>
      </w:r>
      <w:r w:rsidRPr="00D77AB8">
        <w:rPr>
          <w:rFonts w:eastAsia="Times New Roman" w:cs="Times New Roman"/>
          <w:i/>
          <w:iCs/>
          <w:szCs w:val="24"/>
        </w:rPr>
        <w:t>International Journal for Students as Partners</w:t>
      </w:r>
      <w:r w:rsidRPr="009A7962">
        <w:rPr>
          <w:rFonts w:eastAsia="Times New Roman" w:cs="Times New Roman"/>
          <w:szCs w:val="24"/>
        </w:rPr>
        <w:t xml:space="preserve">, 5(2), 212–220. </w:t>
      </w:r>
      <w:hyperlink r:id="rId18" w:history="1">
        <w:r w:rsidRPr="00D77AB8">
          <w:rPr>
            <w:rStyle w:val="Hyperlink"/>
            <w:rFonts w:eastAsia="Times New Roman" w:cs="Times New Roman"/>
            <w:color w:val="auto"/>
            <w:szCs w:val="24"/>
          </w:rPr>
          <w:t>https://doi.org/10.15173/ijsap.v5i2.4556</w:t>
        </w:r>
      </w:hyperlink>
      <w:r w:rsidRPr="009A7962">
        <w:rPr>
          <w:rFonts w:eastAsia="Times New Roman" w:cs="Times New Roman"/>
          <w:szCs w:val="24"/>
        </w:rPr>
        <w:t xml:space="preserve"> </w:t>
      </w:r>
    </w:p>
    <w:p w14:paraId="0B73CBC9" w14:textId="40EA2B77" w:rsidR="002526B0" w:rsidRPr="00D77AB8" w:rsidRDefault="002526B0" w:rsidP="002526B0">
      <w:pPr>
        <w:autoSpaceDE w:val="0"/>
        <w:autoSpaceDN w:val="0"/>
        <w:ind w:hanging="480"/>
        <w:rPr>
          <w:rFonts w:eastAsia="Times New Roman" w:cs="Times New Roman"/>
          <w:szCs w:val="24"/>
        </w:rPr>
      </w:pPr>
      <w:r w:rsidRPr="00D77AB8">
        <w:rPr>
          <w:rFonts w:eastAsia="Times New Roman" w:cs="Times New Roman"/>
          <w:szCs w:val="24"/>
        </w:rPr>
        <w:t xml:space="preserve">Yeganeh, B. &amp; Kolb, D. (2012). Mindfulness and experiential learning. In </w:t>
      </w:r>
      <w:r w:rsidRPr="00D77AB8">
        <w:rPr>
          <w:rFonts w:eastAsia="Times New Roman" w:cs="Times New Roman"/>
          <w:i/>
          <w:iCs/>
          <w:szCs w:val="24"/>
        </w:rPr>
        <w:t xml:space="preserve">Handbook for strategic HR </w:t>
      </w:r>
      <w:r w:rsidRPr="00D77AB8">
        <w:rPr>
          <w:rFonts w:eastAsia="Times New Roman" w:cs="Times New Roman"/>
          <w:szCs w:val="24"/>
        </w:rPr>
        <w:t>(pp. 152–170). AMACOM.</w:t>
      </w:r>
    </w:p>
    <w:p w14:paraId="46E9A8D0" w14:textId="419D2A0F" w:rsidR="00F47DA3" w:rsidRDefault="002526B0" w:rsidP="00DE2ACE">
      <w:pPr>
        <w:autoSpaceDE w:val="0"/>
        <w:autoSpaceDN w:val="0"/>
        <w:ind w:hanging="480"/>
        <w:rPr>
          <w:rFonts w:eastAsia="Times New Roman" w:cs="Times New Roman"/>
          <w:szCs w:val="24"/>
        </w:rPr>
      </w:pPr>
      <w:r w:rsidRPr="009A7962">
        <w:rPr>
          <w:rFonts w:eastAsia="Times New Roman" w:cs="Times New Roman"/>
          <w:szCs w:val="24"/>
        </w:rPr>
        <w:t xml:space="preserve">Zhang, B., &amp; </w:t>
      </w:r>
      <w:proofErr w:type="spellStart"/>
      <w:r w:rsidRPr="009A7962">
        <w:rPr>
          <w:rFonts w:eastAsia="Times New Roman" w:cs="Times New Roman"/>
          <w:szCs w:val="24"/>
        </w:rPr>
        <w:t>Ohland</w:t>
      </w:r>
      <w:proofErr w:type="spellEnd"/>
      <w:r w:rsidRPr="009A7962">
        <w:rPr>
          <w:rFonts w:eastAsia="Times New Roman" w:cs="Times New Roman"/>
          <w:szCs w:val="24"/>
        </w:rPr>
        <w:t xml:space="preserve">, M. W. (2009). Applied measurement in education how to assign individualized scores on a group project: An empirical evaluation. </w:t>
      </w:r>
      <w:r w:rsidRPr="009A7962">
        <w:rPr>
          <w:rFonts w:eastAsia="Times New Roman" w:cs="Times New Roman"/>
          <w:i/>
          <w:iCs/>
          <w:szCs w:val="24"/>
        </w:rPr>
        <w:t>Applied Measurement in Education</w:t>
      </w:r>
      <w:r w:rsidRPr="009A7962">
        <w:rPr>
          <w:rFonts w:eastAsia="Times New Roman" w:cs="Times New Roman"/>
          <w:szCs w:val="24"/>
        </w:rPr>
        <w:t xml:space="preserve">, </w:t>
      </w:r>
      <w:r w:rsidRPr="009A7962">
        <w:rPr>
          <w:rFonts w:eastAsia="Times New Roman" w:cs="Times New Roman"/>
          <w:i/>
          <w:iCs/>
          <w:szCs w:val="24"/>
        </w:rPr>
        <w:t>22</w:t>
      </w:r>
      <w:r w:rsidRPr="009A7962">
        <w:rPr>
          <w:rFonts w:eastAsia="Times New Roman" w:cs="Times New Roman"/>
          <w:szCs w:val="24"/>
        </w:rPr>
        <w:t xml:space="preserve">(3), 290–308. </w:t>
      </w:r>
      <w:hyperlink r:id="rId19" w:history="1">
        <w:r w:rsidR="00D77AB8" w:rsidRPr="00FD0870">
          <w:rPr>
            <w:rStyle w:val="Hyperlink"/>
            <w:rFonts w:eastAsia="Times New Roman" w:cs="Times New Roman"/>
            <w:szCs w:val="24"/>
          </w:rPr>
          <w:t>https://doi.org/10.1080/08957340902984075</w:t>
        </w:r>
      </w:hyperlink>
      <w:r w:rsidR="00D77AB8">
        <w:rPr>
          <w:rFonts w:eastAsia="Times New Roman" w:cs="Times New Roman"/>
          <w:szCs w:val="24"/>
        </w:rPr>
        <w:t xml:space="preserve"> </w:t>
      </w:r>
    </w:p>
    <w:p w14:paraId="45635957" w14:textId="6BF5D3FE" w:rsidR="00A90D2E" w:rsidRDefault="00A90D2E" w:rsidP="00DE2ACE">
      <w:pPr>
        <w:autoSpaceDE w:val="0"/>
        <w:autoSpaceDN w:val="0"/>
        <w:ind w:hanging="480"/>
        <w:rPr>
          <w:rFonts w:eastAsia="Times New Roman" w:cs="Times New Roman"/>
          <w:szCs w:val="24"/>
        </w:rPr>
      </w:pPr>
    </w:p>
    <w:p w14:paraId="50D2B4C7" w14:textId="62377E3D" w:rsidR="00A90D2E" w:rsidRPr="00DE2ACE" w:rsidRDefault="00A90D2E" w:rsidP="00DE2ACE">
      <w:pPr>
        <w:autoSpaceDE w:val="0"/>
        <w:autoSpaceDN w:val="0"/>
        <w:ind w:hanging="480"/>
        <w:rPr>
          <w:rFonts w:eastAsia="Times New Roman" w:cs="Times New Roman"/>
          <w:szCs w:val="24"/>
        </w:rPr>
      </w:pPr>
    </w:p>
    <w:sectPr w:rsidR="00A90D2E" w:rsidRPr="00DE2AC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0703" w14:textId="77777777" w:rsidR="008367ED" w:rsidRDefault="008367ED">
      <w:pPr>
        <w:spacing w:line="240" w:lineRule="auto"/>
      </w:pPr>
      <w:r>
        <w:separator/>
      </w:r>
    </w:p>
  </w:endnote>
  <w:endnote w:type="continuationSeparator" w:id="0">
    <w:p w14:paraId="729507EE" w14:textId="77777777" w:rsidR="008367ED" w:rsidRDefault="00836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4606"/>
      <w:docPartObj>
        <w:docPartGallery w:val="Page Numbers (Bottom of Page)"/>
        <w:docPartUnique/>
      </w:docPartObj>
    </w:sdtPr>
    <w:sdtEndPr>
      <w:rPr>
        <w:noProof/>
      </w:rPr>
    </w:sdtEndPr>
    <w:sdtContent>
      <w:p w14:paraId="6C03E2F6" w14:textId="77777777" w:rsidR="00540444" w:rsidRDefault="00321B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6EE6D" w14:textId="77777777" w:rsidR="0054044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78F4" w14:textId="77777777" w:rsidR="008367ED" w:rsidRDefault="008367ED">
      <w:pPr>
        <w:spacing w:line="240" w:lineRule="auto"/>
      </w:pPr>
      <w:r>
        <w:separator/>
      </w:r>
    </w:p>
  </w:footnote>
  <w:footnote w:type="continuationSeparator" w:id="0">
    <w:p w14:paraId="1A8F91A3" w14:textId="77777777" w:rsidR="008367ED" w:rsidRDefault="008367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758"/>
    <w:multiLevelType w:val="multilevel"/>
    <w:tmpl w:val="01487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6F07DF"/>
    <w:multiLevelType w:val="hybridMultilevel"/>
    <w:tmpl w:val="3AAEA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D4B733F"/>
    <w:multiLevelType w:val="hybridMultilevel"/>
    <w:tmpl w:val="0F382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9D13A5F"/>
    <w:multiLevelType w:val="multilevel"/>
    <w:tmpl w:val="1744E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D72238"/>
    <w:multiLevelType w:val="multilevel"/>
    <w:tmpl w:val="F0382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4F1397"/>
    <w:multiLevelType w:val="hybridMultilevel"/>
    <w:tmpl w:val="74B24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C632F1"/>
    <w:multiLevelType w:val="hybridMultilevel"/>
    <w:tmpl w:val="F8F6AB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25181771">
    <w:abstractNumId w:val="1"/>
  </w:num>
  <w:num w:numId="2" w16cid:durableId="670716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692018">
    <w:abstractNumId w:val="6"/>
  </w:num>
  <w:num w:numId="4" w16cid:durableId="485173038">
    <w:abstractNumId w:val="2"/>
  </w:num>
  <w:num w:numId="5" w16cid:durableId="1859074473">
    <w:abstractNumId w:val="5"/>
  </w:num>
  <w:num w:numId="6" w16cid:durableId="1105688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458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B0"/>
    <w:rsid w:val="00012BBB"/>
    <w:rsid w:val="00016CED"/>
    <w:rsid w:val="00055387"/>
    <w:rsid w:val="00071EE8"/>
    <w:rsid w:val="00077BBF"/>
    <w:rsid w:val="00081308"/>
    <w:rsid w:val="000A4275"/>
    <w:rsid w:val="000A5642"/>
    <w:rsid w:val="000D4EA1"/>
    <w:rsid w:val="000D7D89"/>
    <w:rsid w:val="000E0E90"/>
    <w:rsid w:val="000F5E10"/>
    <w:rsid w:val="000F6E8A"/>
    <w:rsid w:val="00110263"/>
    <w:rsid w:val="00111E92"/>
    <w:rsid w:val="0011642B"/>
    <w:rsid w:val="00124C6F"/>
    <w:rsid w:val="00126043"/>
    <w:rsid w:val="00127EA3"/>
    <w:rsid w:val="001340EB"/>
    <w:rsid w:val="00153F28"/>
    <w:rsid w:val="0015542B"/>
    <w:rsid w:val="00161EA4"/>
    <w:rsid w:val="0016245F"/>
    <w:rsid w:val="00167719"/>
    <w:rsid w:val="00177C11"/>
    <w:rsid w:val="00197276"/>
    <w:rsid w:val="001C11E0"/>
    <w:rsid w:val="001D4C4F"/>
    <w:rsid w:val="001E1D7C"/>
    <w:rsid w:val="001E547C"/>
    <w:rsid w:val="001F29C5"/>
    <w:rsid w:val="001F65BF"/>
    <w:rsid w:val="00210AB5"/>
    <w:rsid w:val="00221BC9"/>
    <w:rsid w:val="002263E7"/>
    <w:rsid w:val="00226D00"/>
    <w:rsid w:val="00230B24"/>
    <w:rsid w:val="002526B0"/>
    <w:rsid w:val="00263CF2"/>
    <w:rsid w:val="0026559D"/>
    <w:rsid w:val="002656C9"/>
    <w:rsid w:val="00265FBE"/>
    <w:rsid w:val="0026631A"/>
    <w:rsid w:val="00281E74"/>
    <w:rsid w:val="00284881"/>
    <w:rsid w:val="00285EEC"/>
    <w:rsid w:val="00290AE2"/>
    <w:rsid w:val="002D10DE"/>
    <w:rsid w:val="002E0AEC"/>
    <w:rsid w:val="00305D8E"/>
    <w:rsid w:val="00310715"/>
    <w:rsid w:val="00321BA6"/>
    <w:rsid w:val="003278DC"/>
    <w:rsid w:val="00337E30"/>
    <w:rsid w:val="00350810"/>
    <w:rsid w:val="00351AC9"/>
    <w:rsid w:val="00352A36"/>
    <w:rsid w:val="00360051"/>
    <w:rsid w:val="00362E76"/>
    <w:rsid w:val="0039241F"/>
    <w:rsid w:val="003A43D7"/>
    <w:rsid w:val="003A796F"/>
    <w:rsid w:val="003B4FE8"/>
    <w:rsid w:val="003C7571"/>
    <w:rsid w:val="003C7FAE"/>
    <w:rsid w:val="003D2D2D"/>
    <w:rsid w:val="003E3039"/>
    <w:rsid w:val="00413069"/>
    <w:rsid w:val="0042098C"/>
    <w:rsid w:val="0042108E"/>
    <w:rsid w:val="004222B7"/>
    <w:rsid w:val="004413E5"/>
    <w:rsid w:val="00467A66"/>
    <w:rsid w:val="00475459"/>
    <w:rsid w:val="004A3398"/>
    <w:rsid w:val="004B200A"/>
    <w:rsid w:val="004B7AFD"/>
    <w:rsid w:val="004C5356"/>
    <w:rsid w:val="004C7147"/>
    <w:rsid w:val="004E3C8E"/>
    <w:rsid w:val="00510D00"/>
    <w:rsid w:val="005126BE"/>
    <w:rsid w:val="00513CF0"/>
    <w:rsid w:val="00541A47"/>
    <w:rsid w:val="00545DD3"/>
    <w:rsid w:val="00546D85"/>
    <w:rsid w:val="005579A0"/>
    <w:rsid w:val="00557F49"/>
    <w:rsid w:val="00560E82"/>
    <w:rsid w:val="00566B6B"/>
    <w:rsid w:val="005B460A"/>
    <w:rsid w:val="005C22E1"/>
    <w:rsid w:val="005D2F08"/>
    <w:rsid w:val="005D5547"/>
    <w:rsid w:val="005E04B8"/>
    <w:rsid w:val="005F0B7F"/>
    <w:rsid w:val="005F35DD"/>
    <w:rsid w:val="005F7274"/>
    <w:rsid w:val="0060034E"/>
    <w:rsid w:val="00601E56"/>
    <w:rsid w:val="006037B0"/>
    <w:rsid w:val="0061152A"/>
    <w:rsid w:val="006144E4"/>
    <w:rsid w:val="006300E9"/>
    <w:rsid w:val="00630233"/>
    <w:rsid w:val="006400B6"/>
    <w:rsid w:val="0064053A"/>
    <w:rsid w:val="00656ACB"/>
    <w:rsid w:val="006623FA"/>
    <w:rsid w:val="00663F6E"/>
    <w:rsid w:val="00664079"/>
    <w:rsid w:val="0066585F"/>
    <w:rsid w:val="00674B03"/>
    <w:rsid w:val="00674CBC"/>
    <w:rsid w:val="006774D8"/>
    <w:rsid w:val="0068004A"/>
    <w:rsid w:val="006823FB"/>
    <w:rsid w:val="00682481"/>
    <w:rsid w:val="00693291"/>
    <w:rsid w:val="006A0B9D"/>
    <w:rsid w:val="006E319A"/>
    <w:rsid w:val="00702100"/>
    <w:rsid w:val="0071249B"/>
    <w:rsid w:val="00712524"/>
    <w:rsid w:val="00713188"/>
    <w:rsid w:val="00722DE8"/>
    <w:rsid w:val="00727BBE"/>
    <w:rsid w:val="00731349"/>
    <w:rsid w:val="00732F9B"/>
    <w:rsid w:val="0073643B"/>
    <w:rsid w:val="007420DB"/>
    <w:rsid w:val="007552E1"/>
    <w:rsid w:val="00755500"/>
    <w:rsid w:val="00763174"/>
    <w:rsid w:val="00763250"/>
    <w:rsid w:val="00771948"/>
    <w:rsid w:val="007742E2"/>
    <w:rsid w:val="00777A7E"/>
    <w:rsid w:val="007850F0"/>
    <w:rsid w:val="00787A20"/>
    <w:rsid w:val="007A147C"/>
    <w:rsid w:val="007A4890"/>
    <w:rsid w:val="007B32C9"/>
    <w:rsid w:val="007C01CB"/>
    <w:rsid w:val="007E4DDA"/>
    <w:rsid w:val="007F158B"/>
    <w:rsid w:val="008175A8"/>
    <w:rsid w:val="008367ED"/>
    <w:rsid w:val="008419E8"/>
    <w:rsid w:val="00843A1C"/>
    <w:rsid w:val="00845729"/>
    <w:rsid w:val="00855D77"/>
    <w:rsid w:val="00860AF4"/>
    <w:rsid w:val="008616FB"/>
    <w:rsid w:val="00880DC4"/>
    <w:rsid w:val="00891A05"/>
    <w:rsid w:val="008965C1"/>
    <w:rsid w:val="008A6555"/>
    <w:rsid w:val="008B0EB2"/>
    <w:rsid w:val="008B3222"/>
    <w:rsid w:val="008D0B67"/>
    <w:rsid w:val="008E74FE"/>
    <w:rsid w:val="008F2F9C"/>
    <w:rsid w:val="00902BC7"/>
    <w:rsid w:val="009107B5"/>
    <w:rsid w:val="00917783"/>
    <w:rsid w:val="009216E9"/>
    <w:rsid w:val="00935C5A"/>
    <w:rsid w:val="00936BE8"/>
    <w:rsid w:val="00940F4C"/>
    <w:rsid w:val="00943D3C"/>
    <w:rsid w:val="00944BF8"/>
    <w:rsid w:val="00953E7A"/>
    <w:rsid w:val="0095452C"/>
    <w:rsid w:val="00955DFD"/>
    <w:rsid w:val="0096015A"/>
    <w:rsid w:val="00966637"/>
    <w:rsid w:val="00970DC3"/>
    <w:rsid w:val="00970E26"/>
    <w:rsid w:val="00972AC0"/>
    <w:rsid w:val="009A0A86"/>
    <w:rsid w:val="009A7962"/>
    <w:rsid w:val="009B17F1"/>
    <w:rsid w:val="009B2EA7"/>
    <w:rsid w:val="009C48BB"/>
    <w:rsid w:val="009C4F21"/>
    <w:rsid w:val="009C604F"/>
    <w:rsid w:val="009D2677"/>
    <w:rsid w:val="009E7350"/>
    <w:rsid w:val="009F694B"/>
    <w:rsid w:val="00A10BEF"/>
    <w:rsid w:val="00A1129F"/>
    <w:rsid w:val="00A212FB"/>
    <w:rsid w:val="00A2158E"/>
    <w:rsid w:val="00A24206"/>
    <w:rsid w:val="00A2664D"/>
    <w:rsid w:val="00A26816"/>
    <w:rsid w:val="00A365E2"/>
    <w:rsid w:val="00A51EBA"/>
    <w:rsid w:val="00A52F2D"/>
    <w:rsid w:val="00A56243"/>
    <w:rsid w:val="00A700C0"/>
    <w:rsid w:val="00A73BCE"/>
    <w:rsid w:val="00A73EFD"/>
    <w:rsid w:val="00A7773A"/>
    <w:rsid w:val="00A828F3"/>
    <w:rsid w:val="00A90D2E"/>
    <w:rsid w:val="00A94F6C"/>
    <w:rsid w:val="00A9709A"/>
    <w:rsid w:val="00AF752B"/>
    <w:rsid w:val="00B07C9E"/>
    <w:rsid w:val="00B1608B"/>
    <w:rsid w:val="00B17C70"/>
    <w:rsid w:val="00B24A18"/>
    <w:rsid w:val="00B34E88"/>
    <w:rsid w:val="00B50C66"/>
    <w:rsid w:val="00B52DB3"/>
    <w:rsid w:val="00B6662D"/>
    <w:rsid w:val="00B66864"/>
    <w:rsid w:val="00B72E0C"/>
    <w:rsid w:val="00B75CEC"/>
    <w:rsid w:val="00B93E9E"/>
    <w:rsid w:val="00BD27A0"/>
    <w:rsid w:val="00BE5CF2"/>
    <w:rsid w:val="00BF0824"/>
    <w:rsid w:val="00BF74C7"/>
    <w:rsid w:val="00C01F66"/>
    <w:rsid w:val="00C06755"/>
    <w:rsid w:val="00C15992"/>
    <w:rsid w:val="00C339C1"/>
    <w:rsid w:val="00C45943"/>
    <w:rsid w:val="00C47958"/>
    <w:rsid w:val="00C52B98"/>
    <w:rsid w:val="00C55BF3"/>
    <w:rsid w:val="00C55C6C"/>
    <w:rsid w:val="00C9376C"/>
    <w:rsid w:val="00C94EE0"/>
    <w:rsid w:val="00C967DE"/>
    <w:rsid w:val="00C96BA7"/>
    <w:rsid w:val="00C97BE7"/>
    <w:rsid w:val="00CA6965"/>
    <w:rsid w:val="00CB086C"/>
    <w:rsid w:val="00CE08BD"/>
    <w:rsid w:val="00CE2F22"/>
    <w:rsid w:val="00CF5E1C"/>
    <w:rsid w:val="00D03EB2"/>
    <w:rsid w:val="00D10468"/>
    <w:rsid w:val="00D15E95"/>
    <w:rsid w:val="00D22086"/>
    <w:rsid w:val="00D5330F"/>
    <w:rsid w:val="00D64A3C"/>
    <w:rsid w:val="00D74659"/>
    <w:rsid w:val="00D77AB8"/>
    <w:rsid w:val="00D84CCE"/>
    <w:rsid w:val="00DA433E"/>
    <w:rsid w:val="00DE0412"/>
    <w:rsid w:val="00DE2ACE"/>
    <w:rsid w:val="00E27461"/>
    <w:rsid w:val="00E32BEF"/>
    <w:rsid w:val="00E36E0B"/>
    <w:rsid w:val="00E3743C"/>
    <w:rsid w:val="00E471A4"/>
    <w:rsid w:val="00E54747"/>
    <w:rsid w:val="00E6194D"/>
    <w:rsid w:val="00E70746"/>
    <w:rsid w:val="00E922DF"/>
    <w:rsid w:val="00EA01DE"/>
    <w:rsid w:val="00EA1DBB"/>
    <w:rsid w:val="00EA5867"/>
    <w:rsid w:val="00EA7C0E"/>
    <w:rsid w:val="00EB081D"/>
    <w:rsid w:val="00EB3317"/>
    <w:rsid w:val="00EB7358"/>
    <w:rsid w:val="00EC4A3A"/>
    <w:rsid w:val="00ED30CE"/>
    <w:rsid w:val="00EE3AB1"/>
    <w:rsid w:val="00EF1075"/>
    <w:rsid w:val="00EF64B3"/>
    <w:rsid w:val="00F02008"/>
    <w:rsid w:val="00F03B17"/>
    <w:rsid w:val="00F06DD4"/>
    <w:rsid w:val="00F11BA1"/>
    <w:rsid w:val="00F15CD4"/>
    <w:rsid w:val="00F2038A"/>
    <w:rsid w:val="00F21EB1"/>
    <w:rsid w:val="00F2251D"/>
    <w:rsid w:val="00F262A7"/>
    <w:rsid w:val="00F26FD0"/>
    <w:rsid w:val="00F273FA"/>
    <w:rsid w:val="00F47DA3"/>
    <w:rsid w:val="00F5254E"/>
    <w:rsid w:val="00F614C8"/>
    <w:rsid w:val="00F61756"/>
    <w:rsid w:val="00F67808"/>
    <w:rsid w:val="00F822BB"/>
    <w:rsid w:val="00FB5DC5"/>
    <w:rsid w:val="00FD4956"/>
    <w:rsid w:val="00FD4C93"/>
    <w:rsid w:val="00FE13A5"/>
    <w:rsid w:val="00FE28F8"/>
    <w:rsid w:val="00FF0702"/>
    <w:rsid w:val="00FF2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9698"/>
  <w15:chartTrackingRefBased/>
  <w15:docId w15:val="{F8C8C6D1-A997-4F8A-A537-7AA756D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MLE"/>
    <w:qFormat/>
    <w:rsid w:val="002526B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6B0"/>
    <w:pPr>
      <w:tabs>
        <w:tab w:val="center" w:pos="4513"/>
        <w:tab w:val="right" w:pos="9026"/>
      </w:tabs>
      <w:spacing w:line="240" w:lineRule="auto"/>
    </w:pPr>
  </w:style>
  <w:style w:type="character" w:customStyle="1" w:styleId="FooterChar">
    <w:name w:val="Footer Char"/>
    <w:basedOn w:val="DefaultParagraphFont"/>
    <w:link w:val="Footer"/>
    <w:uiPriority w:val="99"/>
    <w:rsid w:val="002526B0"/>
    <w:rPr>
      <w:rFonts w:ascii="Times New Roman" w:hAnsi="Times New Roman"/>
      <w:sz w:val="24"/>
    </w:rPr>
  </w:style>
  <w:style w:type="character" w:styleId="Hyperlink">
    <w:name w:val="Hyperlink"/>
    <w:basedOn w:val="DefaultParagraphFont"/>
    <w:uiPriority w:val="99"/>
    <w:unhideWhenUsed/>
    <w:rsid w:val="002526B0"/>
    <w:rPr>
      <w:color w:val="0563C1" w:themeColor="hyperlink"/>
      <w:u w:val="single"/>
    </w:rPr>
  </w:style>
  <w:style w:type="character" w:styleId="UnresolvedMention">
    <w:name w:val="Unresolved Mention"/>
    <w:basedOn w:val="DefaultParagraphFont"/>
    <w:uiPriority w:val="99"/>
    <w:semiHidden/>
    <w:unhideWhenUsed/>
    <w:rsid w:val="002526B0"/>
    <w:rPr>
      <w:color w:val="605E5C"/>
      <w:shd w:val="clear" w:color="auto" w:fill="E1DFDD"/>
    </w:rPr>
  </w:style>
  <w:style w:type="paragraph" w:styleId="Revision">
    <w:name w:val="Revision"/>
    <w:hidden/>
    <w:uiPriority w:val="99"/>
    <w:semiHidden/>
    <w:rsid w:val="00362E76"/>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11BA1"/>
    <w:rPr>
      <w:sz w:val="16"/>
      <w:szCs w:val="16"/>
    </w:rPr>
  </w:style>
  <w:style w:type="paragraph" w:styleId="CommentText">
    <w:name w:val="annotation text"/>
    <w:basedOn w:val="Normal"/>
    <w:link w:val="CommentTextChar"/>
    <w:uiPriority w:val="99"/>
    <w:unhideWhenUsed/>
    <w:rsid w:val="00F11BA1"/>
    <w:pPr>
      <w:spacing w:line="240" w:lineRule="auto"/>
    </w:pPr>
    <w:rPr>
      <w:sz w:val="20"/>
      <w:szCs w:val="20"/>
    </w:rPr>
  </w:style>
  <w:style w:type="character" w:customStyle="1" w:styleId="CommentTextChar">
    <w:name w:val="Comment Text Char"/>
    <w:basedOn w:val="DefaultParagraphFont"/>
    <w:link w:val="CommentText"/>
    <w:uiPriority w:val="99"/>
    <w:rsid w:val="00F11B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1BA1"/>
    <w:rPr>
      <w:b/>
      <w:bCs/>
    </w:rPr>
  </w:style>
  <w:style w:type="character" w:customStyle="1" w:styleId="CommentSubjectChar">
    <w:name w:val="Comment Subject Char"/>
    <w:basedOn w:val="CommentTextChar"/>
    <w:link w:val="CommentSubject"/>
    <w:uiPriority w:val="99"/>
    <w:semiHidden/>
    <w:rsid w:val="00F11BA1"/>
    <w:rPr>
      <w:rFonts w:ascii="Times New Roman" w:hAnsi="Times New Roman"/>
      <w:b/>
      <w:bCs/>
      <w:sz w:val="20"/>
      <w:szCs w:val="20"/>
    </w:rPr>
  </w:style>
  <w:style w:type="paragraph" w:styleId="ListParagraph">
    <w:name w:val="List Paragraph"/>
    <w:basedOn w:val="Normal"/>
    <w:uiPriority w:val="34"/>
    <w:qFormat/>
    <w:rsid w:val="0096015A"/>
    <w:pPr>
      <w:ind w:left="720"/>
      <w:contextualSpacing/>
    </w:pPr>
  </w:style>
  <w:style w:type="paragraph" w:customStyle="1" w:styleId="m-3974737002415187905msolistparagraph">
    <w:name w:val="m_-3974737002415187905msolistparagraph"/>
    <w:basedOn w:val="Normal"/>
    <w:rsid w:val="004B200A"/>
    <w:pPr>
      <w:spacing w:before="100" w:beforeAutospacing="1" w:after="100" w:afterAutospacing="1" w:line="240" w:lineRule="auto"/>
    </w:pPr>
    <w:rPr>
      <w:rFonts w:ascii="Calibri" w:hAnsi="Calibri" w:cs="Calibri"/>
      <w:sz w:val="22"/>
      <w:lang w:eastAsia="en-AU"/>
    </w:rPr>
  </w:style>
  <w:style w:type="paragraph" w:customStyle="1" w:styleId="Abstracttext">
    <w:name w:val="Abstract text"/>
    <w:basedOn w:val="Normal"/>
    <w:uiPriority w:val="99"/>
    <w:qFormat/>
    <w:rsid w:val="00601E56"/>
    <w:pPr>
      <w:suppressAutoHyphens/>
      <w:autoSpaceDE w:val="0"/>
      <w:autoSpaceDN w:val="0"/>
      <w:adjustRightInd w:val="0"/>
      <w:spacing w:after="113" w:line="220" w:lineRule="atLeast"/>
      <w:ind w:right="170"/>
      <w:textAlignment w:val="center"/>
    </w:pPr>
    <w:rPr>
      <w:rFonts w:ascii="Gill Sans MT" w:hAnsi="Gill Sans MT" w:cs="Gill Sans MT"/>
      <w:color w:val="000000"/>
      <w:sz w:val="18"/>
      <w:szCs w:val="18"/>
      <w:lang w:val="en-US"/>
    </w:rPr>
  </w:style>
  <w:style w:type="paragraph" w:customStyle="1" w:styleId="References">
    <w:name w:val="References"/>
    <w:basedOn w:val="Normal"/>
    <w:link w:val="ReferencesChar"/>
    <w:qFormat/>
    <w:rsid w:val="00A2664D"/>
    <w:pPr>
      <w:suppressAutoHyphens/>
      <w:autoSpaceDE w:val="0"/>
      <w:autoSpaceDN w:val="0"/>
      <w:adjustRightInd w:val="0"/>
      <w:spacing w:line="220" w:lineRule="atLeast"/>
      <w:ind w:left="170" w:hanging="170"/>
      <w:textAlignment w:val="center"/>
    </w:pPr>
    <w:rPr>
      <w:rFonts w:ascii="Minion Pro" w:hAnsi="Minion Pro" w:cs="Minion Pro"/>
      <w:color w:val="000000"/>
      <w:sz w:val="16"/>
      <w:szCs w:val="16"/>
      <w:lang w:val="en-US"/>
    </w:rPr>
  </w:style>
  <w:style w:type="character" w:customStyle="1" w:styleId="ReferencesChar">
    <w:name w:val="References Char"/>
    <w:basedOn w:val="DefaultParagraphFont"/>
    <w:link w:val="References"/>
    <w:rsid w:val="00A2664D"/>
    <w:rPr>
      <w:rFonts w:ascii="Minion Pro" w:hAnsi="Minion Pro" w:cs="Minion Pro"/>
      <w:color w:val="000000"/>
      <w:sz w:val="16"/>
      <w:szCs w:val="16"/>
      <w:lang w:val="en-US"/>
    </w:rPr>
  </w:style>
  <w:style w:type="table" w:styleId="TableGrid">
    <w:name w:val="Table Grid"/>
    <w:basedOn w:val="TableNormal"/>
    <w:uiPriority w:val="39"/>
    <w:rsid w:val="00B7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7992741770699490m3442366782035087884msolistparagraph">
    <w:name w:val="m_5977992741770699490m3442366782035087884msolistparagraph"/>
    <w:basedOn w:val="Normal"/>
    <w:rsid w:val="00F262A7"/>
    <w:pPr>
      <w:spacing w:before="100" w:beforeAutospacing="1" w:after="100" w:afterAutospacing="1" w:line="240" w:lineRule="auto"/>
    </w:pPr>
    <w:rPr>
      <w:rFonts w:ascii="Calibri" w:hAnsi="Calibri" w:cs="Calibri"/>
      <w:sz w:val="22"/>
      <w:lang w:eastAsia="en-AU"/>
    </w:rPr>
  </w:style>
  <w:style w:type="character" w:styleId="Emphasis">
    <w:name w:val="Emphasis"/>
    <w:basedOn w:val="DefaultParagraphFont"/>
    <w:uiPriority w:val="20"/>
    <w:qFormat/>
    <w:rsid w:val="00AF752B"/>
    <w:rPr>
      <w:i/>
      <w:iCs/>
    </w:rPr>
  </w:style>
  <w:style w:type="character" w:styleId="FollowedHyperlink">
    <w:name w:val="FollowedHyperlink"/>
    <w:basedOn w:val="DefaultParagraphFont"/>
    <w:uiPriority w:val="99"/>
    <w:semiHidden/>
    <w:unhideWhenUsed/>
    <w:rsid w:val="00A7773A"/>
    <w:rPr>
      <w:color w:val="954F72" w:themeColor="followedHyperlink"/>
      <w:u w:val="single"/>
    </w:rPr>
  </w:style>
  <w:style w:type="character" w:customStyle="1" w:styleId="hgkelc">
    <w:name w:val="hgkelc"/>
    <w:basedOn w:val="DefaultParagraphFont"/>
    <w:rsid w:val="008D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621">
      <w:bodyDiv w:val="1"/>
      <w:marLeft w:val="0"/>
      <w:marRight w:val="0"/>
      <w:marTop w:val="0"/>
      <w:marBottom w:val="0"/>
      <w:divBdr>
        <w:top w:val="none" w:sz="0" w:space="0" w:color="auto"/>
        <w:left w:val="none" w:sz="0" w:space="0" w:color="auto"/>
        <w:bottom w:val="none" w:sz="0" w:space="0" w:color="auto"/>
        <w:right w:val="none" w:sz="0" w:space="0" w:color="auto"/>
      </w:divBdr>
    </w:div>
    <w:div w:id="179659140">
      <w:bodyDiv w:val="1"/>
      <w:marLeft w:val="0"/>
      <w:marRight w:val="0"/>
      <w:marTop w:val="0"/>
      <w:marBottom w:val="0"/>
      <w:divBdr>
        <w:top w:val="none" w:sz="0" w:space="0" w:color="auto"/>
        <w:left w:val="none" w:sz="0" w:space="0" w:color="auto"/>
        <w:bottom w:val="none" w:sz="0" w:space="0" w:color="auto"/>
        <w:right w:val="none" w:sz="0" w:space="0" w:color="auto"/>
      </w:divBdr>
    </w:div>
    <w:div w:id="413164093">
      <w:bodyDiv w:val="1"/>
      <w:marLeft w:val="0"/>
      <w:marRight w:val="0"/>
      <w:marTop w:val="0"/>
      <w:marBottom w:val="0"/>
      <w:divBdr>
        <w:top w:val="none" w:sz="0" w:space="0" w:color="auto"/>
        <w:left w:val="none" w:sz="0" w:space="0" w:color="auto"/>
        <w:bottom w:val="none" w:sz="0" w:space="0" w:color="auto"/>
        <w:right w:val="none" w:sz="0" w:space="0" w:color="auto"/>
      </w:divBdr>
    </w:div>
    <w:div w:id="788544932">
      <w:bodyDiv w:val="1"/>
      <w:marLeft w:val="0"/>
      <w:marRight w:val="0"/>
      <w:marTop w:val="0"/>
      <w:marBottom w:val="0"/>
      <w:divBdr>
        <w:top w:val="none" w:sz="0" w:space="0" w:color="auto"/>
        <w:left w:val="none" w:sz="0" w:space="0" w:color="auto"/>
        <w:bottom w:val="none" w:sz="0" w:space="0" w:color="auto"/>
        <w:right w:val="none" w:sz="0" w:space="0" w:color="auto"/>
      </w:divBdr>
    </w:div>
    <w:div w:id="1121801819">
      <w:bodyDiv w:val="1"/>
      <w:marLeft w:val="0"/>
      <w:marRight w:val="0"/>
      <w:marTop w:val="0"/>
      <w:marBottom w:val="0"/>
      <w:divBdr>
        <w:top w:val="none" w:sz="0" w:space="0" w:color="auto"/>
        <w:left w:val="none" w:sz="0" w:space="0" w:color="auto"/>
        <w:bottom w:val="none" w:sz="0" w:space="0" w:color="auto"/>
        <w:right w:val="none" w:sz="0" w:space="0" w:color="auto"/>
      </w:divBdr>
    </w:div>
    <w:div w:id="1799178512">
      <w:bodyDiv w:val="1"/>
      <w:marLeft w:val="0"/>
      <w:marRight w:val="0"/>
      <w:marTop w:val="0"/>
      <w:marBottom w:val="0"/>
      <w:divBdr>
        <w:top w:val="none" w:sz="0" w:space="0" w:color="auto"/>
        <w:left w:val="none" w:sz="0" w:space="0" w:color="auto"/>
        <w:bottom w:val="none" w:sz="0" w:space="0" w:color="auto"/>
        <w:right w:val="none" w:sz="0" w:space="0" w:color="auto"/>
      </w:divBdr>
      <w:divsChild>
        <w:div w:id="273637260">
          <w:marLeft w:val="0"/>
          <w:marRight w:val="0"/>
          <w:marTop w:val="0"/>
          <w:marBottom w:val="0"/>
          <w:divBdr>
            <w:top w:val="none" w:sz="0" w:space="0" w:color="auto"/>
            <w:left w:val="none" w:sz="0" w:space="0" w:color="auto"/>
            <w:bottom w:val="none" w:sz="0" w:space="0" w:color="auto"/>
            <w:right w:val="none" w:sz="0" w:space="0" w:color="auto"/>
          </w:divBdr>
          <w:divsChild>
            <w:div w:id="1102341227">
              <w:marLeft w:val="0"/>
              <w:marRight w:val="0"/>
              <w:marTop w:val="0"/>
              <w:marBottom w:val="0"/>
              <w:divBdr>
                <w:top w:val="none" w:sz="0" w:space="0" w:color="auto"/>
                <w:left w:val="none" w:sz="0" w:space="0" w:color="auto"/>
                <w:bottom w:val="none" w:sz="0" w:space="0" w:color="auto"/>
                <w:right w:val="none" w:sz="0" w:space="0" w:color="auto"/>
              </w:divBdr>
            </w:div>
          </w:divsChild>
        </w:div>
        <w:div w:id="107314588">
          <w:marLeft w:val="0"/>
          <w:marRight w:val="0"/>
          <w:marTop w:val="0"/>
          <w:marBottom w:val="0"/>
          <w:divBdr>
            <w:top w:val="none" w:sz="0" w:space="0" w:color="auto"/>
            <w:left w:val="none" w:sz="0" w:space="0" w:color="auto"/>
            <w:bottom w:val="none" w:sz="0" w:space="0" w:color="auto"/>
            <w:right w:val="none" w:sz="0" w:space="0" w:color="auto"/>
          </w:divBdr>
          <w:divsChild>
            <w:div w:id="1128620980">
              <w:marLeft w:val="0"/>
              <w:marRight w:val="0"/>
              <w:marTop w:val="0"/>
              <w:marBottom w:val="0"/>
              <w:divBdr>
                <w:top w:val="none" w:sz="0" w:space="0" w:color="auto"/>
                <w:left w:val="none" w:sz="0" w:space="0" w:color="auto"/>
                <w:bottom w:val="none" w:sz="0" w:space="0" w:color="auto"/>
                <w:right w:val="none" w:sz="0" w:space="0" w:color="auto"/>
              </w:divBdr>
              <w:divsChild>
                <w:div w:id="4233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Developing-Evaluative-Judgement-in-Higher-Education-Assessment-for-Knowing/Boud-Ajjawi-Dawson-Tai/p/book/9781138089358" TargetMode="External"/><Relationship Id="rId13" Type="http://schemas.openxmlformats.org/officeDocument/2006/relationships/hyperlink" Target="https://doi.org/10.1080/03075079.2018.1482268" TargetMode="External"/><Relationship Id="rId18" Type="http://schemas.openxmlformats.org/officeDocument/2006/relationships/hyperlink" Target="https://doi.org/10.15173/ijsap.v5i2.45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37/0033-295X.84.2.191" TargetMode="External"/><Relationship Id="rId12" Type="http://schemas.openxmlformats.org/officeDocument/2006/relationships/hyperlink" Target="https://doi.org/10.1007/s10734-019-00469-2" TargetMode="External"/><Relationship Id="rId17" Type="http://schemas.openxmlformats.org/officeDocument/2006/relationships/hyperlink" Target="https://doi.org/10.1007/s10734-018-0305-7" TargetMode="External"/><Relationship Id="rId2" Type="http://schemas.openxmlformats.org/officeDocument/2006/relationships/styles" Target="styles.xml"/><Relationship Id="rId16" Type="http://schemas.openxmlformats.org/officeDocument/2006/relationships/hyperlink" Target="https://sres.io/lice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7294360.2021.1887095" TargetMode="External"/><Relationship Id="rId5" Type="http://schemas.openxmlformats.org/officeDocument/2006/relationships/footnotes" Target="footnotes.xml"/><Relationship Id="rId15" Type="http://schemas.openxmlformats.org/officeDocument/2006/relationships/hyperlink" Target="https://quitch.com/about/" TargetMode="External"/><Relationship Id="rId10" Type="http://schemas.openxmlformats.org/officeDocument/2006/relationships/hyperlink" Target="https://doi.org/10.1177/0170840607086634" TargetMode="External"/><Relationship Id="rId19" Type="http://schemas.openxmlformats.org/officeDocument/2006/relationships/hyperlink" Target="https://doi.org/10.1080/08957340902984075" TargetMode="External"/><Relationship Id="rId4" Type="http://schemas.openxmlformats.org/officeDocument/2006/relationships/webSettings" Target="webSettings.xml"/><Relationship Id="rId9" Type="http://schemas.openxmlformats.org/officeDocument/2006/relationships/hyperlink" Target="https://doi.org/10.3200/JOEB.79.5.275-282" TargetMode="External"/><Relationship Id="rId14" Type="http://schemas.openxmlformats.org/officeDocument/2006/relationships/hyperlink" Target="https://doi.org/10.5465/amle.2010.01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80</TotalTime>
  <Pages>10</Pages>
  <Words>3050</Words>
  <Characters>15830</Characters>
  <Application>Microsoft Office Word</Application>
  <DocSecurity>0</DocSecurity>
  <Lines>465</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Ishkova</dc:creator>
  <cp:keywords/>
  <dc:description/>
  <cp:lastModifiedBy>Maria Ishkova</cp:lastModifiedBy>
  <cp:revision>3</cp:revision>
  <dcterms:created xsi:type="dcterms:W3CDTF">2023-01-16T02:27:00Z</dcterms:created>
  <dcterms:modified xsi:type="dcterms:W3CDTF">2023-01-16T03:46:00Z</dcterms:modified>
</cp:coreProperties>
</file>