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617B" w14:textId="5C62EE4F" w:rsidR="0001683D" w:rsidRPr="0064538B" w:rsidRDefault="0001683D" w:rsidP="0001683D">
      <w:pPr>
        <w:spacing w:line="480" w:lineRule="auto"/>
        <w:rPr>
          <w:rFonts w:ascii="Times New Roman" w:hAnsi="Times New Roman" w:cs="Times New Roman"/>
          <w:b/>
          <w:bCs/>
          <w:color w:val="000000" w:themeColor="text1"/>
        </w:rPr>
      </w:pPr>
      <w:r w:rsidRPr="0064538B">
        <w:rPr>
          <w:rFonts w:ascii="Times New Roman" w:eastAsia="Times New Roman" w:hAnsi="Times New Roman" w:cs="Times New Roman"/>
          <w:b/>
          <w:bCs/>
          <w:color w:val="000000" w:themeColor="text1"/>
          <w:lang w:eastAsia="en-GB"/>
        </w:rPr>
        <w:t xml:space="preserve">Session Title - </w:t>
      </w:r>
      <w:r w:rsidRPr="0064538B">
        <w:rPr>
          <w:rFonts w:ascii="Times New Roman" w:hAnsi="Times New Roman" w:cs="Times New Roman"/>
          <w:b/>
          <w:bCs/>
          <w:color w:val="000000" w:themeColor="text1"/>
        </w:rPr>
        <w:t>Using the 4Cs Strategy to increase your influence as an educator</w:t>
      </w:r>
      <w:r w:rsidR="0064538B" w:rsidRPr="0064538B">
        <w:rPr>
          <w:rFonts w:ascii="Times New Roman" w:hAnsi="Times New Roman" w:cs="Times New Roman"/>
          <w:b/>
          <w:bCs/>
          <w:color w:val="000000" w:themeColor="text1"/>
        </w:rPr>
        <w:t xml:space="preserve"> </w:t>
      </w:r>
    </w:p>
    <w:p w14:paraId="35B09F39" w14:textId="77777777" w:rsidR="0001683D" w:rsidRPr="0085459B" w:rsidRDefault="0001683D" w:rsidP="0001683D">
      <w:pPr>
        <w:spacing w:line="480" w:lineRule="auto"/>
        <w:rPr>
          <w:rFonts w:ascii="Times New Roman" w:hAnsi="Times New Roman" w:cs="Times New Roman"/>
          <w:b/>
          <w:bCs/>
        </w:rPr>
      </w:pPr>
      <w:r w:rsidRPr="0085459B">
        <w:rPr>
          <w:rFonts w:ascii="Times New Roman" w:hAnsi="Times New Roman" w:cs="Times New Roman"/>
          <w:b/>
          <w:bCs/>
        </w:rPr>
        <w:t>Introduction</w:t>
      </w:r>
    </w:p>
    <w:p w14:paraId="53D92B24" w14:textId="51239D9D" w:rsidR="0001683D" w:rsidRDefault="0001683D" w:rsidP="0001683D">
      <w:pPr>
        <w:spacing w:line="480" w:lineRule="auto"/>
        <w:ind w:firstLine="720"/>
        <w:rPr>
          <w:rFonts w:ascii="Times New Roman" w:hAnsi="Times New Roman" w:cs="Times New Roman"/>
        </w:rPr>
      </w:pPr>
      <w:r w:rsidRPr="0085459B">
        <w:rPr>
          <w:rFonts w:ascii="Times New Roman" w:hAnsi="Times New Roman" w:cs="Times New Roman"/>
        </w:rPr>
        <w:t xml:space="preserve">As educators, influencing students is </w:t>
      </w:r>
      <w:r>
        <w:rPr>
          <w:rFonts w:ascii="Times New Roman" w:hAnsi="Times New Roman" w:cs="Times New Roman"/>
        </w:rPr>
        <w:t>often</w:t>
      </w:r>
      <w:r w:rsidRPr="0085459B">
        <w:rPr>
          <w:rFonts w:ascii="Times New Roman" w:hAnsi="Times New Roman" w:cs="Times New Roman"/>
        </w:rPr>
        <w:t xml:space="preserve"> a daily activity. </w:t>
      </w:r>
      <w:r>
        <w:rPr>
          <w:rFonts w:ascii="Times New Roman" w:hAnsi="Times New Roman" w:cs="Times New Roman"/>
        </w:rPr>
        <w:t xml:space="preserve">We </w:t>
      </w:r>
      <w:r w:rsidRPr="0085459B">
        <w:rPr>
          <w:rFonts w:ascii="Times New Roman" w:hAnsi="Times New Roman" w:cs="Times New Roman"/>
        </w:rPr>
        <w:t>often innovate or discover new ways of working with our students or delivering our materials as a matter of practice</w:t>
      </w:r>
      <w:r>
        <w:rPr>
          <w:rFonts w:ascii="Times New Roman" w:hAnsi="Times New Roman" w:cs="Times New Roman"/>
        </w:rPr>
        <w:t>, with o</w:t>
      </w:r>
      <w:r w:rsidRPr="0085459B">
        <w:rPr>
          <w:rFonts w:ascii="Times New Roman" w:hAnsi="Times New Roman" w:cs="Times New Roman"/>
        </w:rPr>
        <w:t>ur classrooms becom</w:t>
      </w:r>
      <w:r>
        <w:rPr>
          <w:rFonts w:ascii="Times New Roman" w:hAnsi="Times New Roman" w:cs="Times New Roman"/>
        </w:rPr>
        <w:t>ing</w:t>
      </w:r>
      <w:r w:rsidRPr="0085459B">
        <w:rPr>
          <w:rFonts w:ascii="Times New Roman" w:hAnsi="Times New Roman" w:cs="Times New Roman"/>
        </w:rPr>
        <w:t xml:space="preserve"> ‘studies in the wild’ (Rogers, 2011). Our students benefit and their </w:t>
      </w:r>
      <w:r>
        <w:rPr>
          <w:rFonts w:ascii="Times New Roman" w:hAnsi="Times New Roman" w:cs="Times New Roman"/>
        </w:rPr>
        <w:t>learning is improve</w:t>
      </w:r>
      <w:r w:rsidRPr="0085459B">
        <w:rPr>
          <w:rFonts w:ascii="Times New Roman" w:hAnsi="Times New Roman" w:cs="Times New Roman"/>
        </w:rPr>
        <w:t xml:space="preserve">d. However, good practice </w:t>
      </w:r>
      <w:r>
        <w:rPr>
          <w:rFonts w:ascii="Times New Roman" w:hAnsi="Times New Roman" w:cs="Times New Roman"/>
        </w:rPr>
        <w:t xml:space="preserve">in one classroom </w:t>
      </w:r>
      <w:r w:rsidRPr="0085459B">
        <w:rPr>
          <w:rFonts w:ascii="Times New Roman" w:hAnsi="Times New Roman" w:cs="Times New Roman"/>
        </w:rPr>
        <w:t>changes little</w:t>
      </w:r>
      <w:r w:rsidR="00D601C7">
        <w:rPr>
          <w:rFonts w:ascii="Times New Roman" w:hAnsi="Times New Roman" w:cs="Times New Roman"/>
        </w:rPr>
        <w:t xml:space="preserve"> institutionally</w:t>
      </w:r>
      <w:r>
        <w:rPr>
          <w:rFonts w:ascii="Times New Roman" w:hAnsi="Times New Roman" w:cs="Times New Roman"/>
        </w:rPr>
        <w:t>. A</w:t>
      </w:r>
      <w:r w:rsidRPr="0085459B">
        <w:rPr>
          <w:rFonts w:ascii="Times New Roman" w:hAnsi="Times New Roman" w:cs="Times New Roman"/>
        </w:rPr>
        <w:t xml:space="preserve">s </w:t>
      </w:r>
      <w:r>
        <w:rPr>
          <w:rFonts w:ascii="Times New Roman" w:hAnsi="Times New Roman" w:cs="Times New Roman"/>
        </w:rPr>
        <w:t xml:space="preserve">strategic </w:t>
      </w:r>
      <w:r w:rsidRPr="0085459B">
        <w:rPr>
          <w:rFonts w:ascii="Times New Roman" w:hAnsi="Times New Roman" w:cs="Times New Roman"/>
        </w:rPr>
        <w:t xml:space="preserve">educational influencers, we can </w:t>
      </w:r>
      <w:r w:rsidR="00D601C7">
        <w:rPr>
          <w:rFonts w:ascii="Times New Roman" w:hAnsi="Times New Roman" w:cs="Times New Roman"/>
        </w:rPr>
        <w:t xml:space="preserve">seek to </w:t>
      </w:r>
      <w:r w:rsidRPr="0085459B">
        <w:rPr>
          <w:rFonts w:ascii="Times New Roman" w:hAnsi="Times New Roman" w:cs="Times New Roman"/>
        </w:rPr>
        <w:t xml:space="preserve">have </w:t>
      </w:r>
      <w:r>
        <w:rPr>
          <w:rFonts w:ascii="Times New Roman" w:hAnsi="Times New Roman" w:cs="Times New Roman"/>
        </w:rPr>
        <w:t>more</w:t>
      </w:r>
      <w:r w:rsidRPr="0085459B">
        <w:rPr>
          <w:rFonts w:ascii="Times New Roman" w:hAnsi="Times New Roman" w:cs="Times New Roman"/>
        </w:rPr>
        <w:t xml:space="preserve"> impact and </w:t>
      </w:r>
      <w:r>
        <w:rPr>
          <w:rFonts w:ascii="Times New Roman" w:hAnsi="Times New Roman" w:cs="Times New Roman"/>
        </w:rPr>
        <w:t>effect</w:t>
      </w:r>
      <w:r w:rsidRPr="0085459B">
        <w:rPr>
          <w:rFonts w:ascii="Times New Roman" w:hAnsi="Times New Roman" w:cs="Times New Roman"/>
        </w:rPr>
        <w:t xml:space="preserve"> greater change. However, influencing </w:t>
      </w:r>
      <w:r>
        <w:rPr>
          <w:rFonts w:ascii="Times New Roman" w:hAnsi="Times New Roman" w:cs="Times New Roman"/>
        </w:rPr>
        <w:t xml:space="preserve">colleagues </w:t>
      </w:r>
      <w:r w:rsidRPr="0085459B">
        <w:rPr>
          <w:rFonts w:ascii="Times New Roman" w:hAnsi="Times New Roman" w:cs="Times New Roman"/>
        </w:rPr>
        <w:t xml:space="preserve">more broadly </w:t>
      </w:r>
      <w:r>
        <w:rPr>
          <w:rFonts w:ascii="Times New Roman" w:hAnsi="Times New Roman" w:cs="Times New Roman"/>
        </w:rPr>
        <w:t>requires the</w:t>
      </w:r>
      <w:r w:rsidRPr="0085459B">
        <w:rPr>
          <w:rFonts w:ascii="Times New Roman" w:hAnsi="Times New Roman" w:cs="Times New Roman"/>
        </w:rPr>
        <w:t xml:space="preserve"> dissemination of innovati</w:t>
      </w:r>
      <w:r>
        <w:rPr>
          <w:rFonts w:ascii="Times New Roman" w:hAnsi="Times New Roman" w:cs="Times New Roman"/>
        </w:rPr>
        <w:t>ve</w:t>
      </w:r>
      <w:r w:rsidRPr="0085459B">
        <w:rPr>
          <w:rFonts w:ascii="Times New Roman" w:hAnsi="Times New Roman" w:cs="Times New Roman"/>
        </w:rPr>
        <w:t xml:space="preserve"> and good practice</w:t>
      </w:r>
      <w:r>
        <w:rPr>
          <w:rFonts w:ascii="Times New Roman" w:hAnsi="Times New Roman" w:cs="Times New Roman"/>
        </w:rPr>
        <w:t>, which</w:t>
      </w:r>
      <w:r w:rsidRPr="0085459B">
        <w:rPr>
          <w:rFonts w:ascii="Times New Roman" w:hAnsi="Times New Roman" w:cs="Times New Roman"/>
        </w:rPr>
        <w:t xml:space="preserve"> requires us to leave </w:t>
      </w:r>
      <w:r>
        <w:rPr>
          <w:rFonts w:ascii="Times New Roman" w:hAnsi="Times New Roman" w:cs="Times New Roman"/>
        </w:rPr>
        <w:t xml:space="preserve">(physically or virtually) </w:t>
      </w:r>
      <w:r w:rsidRPr="0085459B">
        <w:rPr>
          <w:rFonts w:ascii="Times New Roman" w:hAnsi="Times New Roman" w:cs="Times New Roman"/>
        </w:rPr>
        <w:t xml:space="preserve">the confines of </w:t>
      </w:r>
      <w:r>
        <w:rPr>
          <w:rFonts w:ascii="Times New Roman" w:hAnsi="Times New Roman" w:cs="Times New Roman"/>
        </w:rPr>
        <w:t>our</w:t>
      </w:r>
      <w:r w:rsidRPr="0085459B">
        <w:rPr>
          <w:rFonts w:ascii="Times New Roman" w:hAnsi="Times New Roman" w:cs="Times New Roman"/>
        </w:rPr>
        <w:t xml:space="preserve"> classroom</w:t>
      </w:r>
      <w:r>
        <w:rPr>
          <w:rFonts w:ascii="Times New Roman" w:hAnsi="Times New Roman" w:cs="Times New Roman"/>
        </w:rPr>
        <w:t>s. To share our innovative and effective practices, we must consciously</w:t>
      </w:r>
      <w:r w:rsidRPr="0085459B">
        <w:rPr>
          <w:rFonts w:ascii="Times New Roman" w:hAnsi="Times New Roman" w:cs="Times New Roman"/>
        </w:rPr>
        <w:t xml:space="preserve"> connect with </w:t>
      </w:r>
      <w:r>
        <w:rPr>
          <w:rFonts w:ascii="Times New Roman" w:hAnsi="Times New Roman" w:cs="Times New Roman"/>
        </w:rPr>
        <w:t>colleagues who can consider our</w:t>
      </w:r>
      <w:r w:rsidRPr="0085459B">
        <w:rPr>
          <w:rFonts w:ascii="Times New Roman" w:hAnsi="Times New Roman" w:cs="Times New Roman"/>
        </w:rPr>
        <w:t xml:space="preserve"> practices</w:t>
      </w:r>
      <w:r w:rsidR="0031746E" w:rsidRPr="0031746E">
        <w:rPr>
          <w:rFonts w:ascii="Times New Roman" w:hAnsi="Times New Roman" w:cs="Times New Roman"/>
        </w:rPr>
        <w:t xml:space="preserve"> </w:t>
      </w:r>
      <w:r w:rsidR="0031746E">
        <w:rPr>
          <w:rFonts w:ascii="Times New Roman" w:hAnsi="Times New Roman" w:cs="Times New Roman"/>
        </w:rPr>
        <w:t>and</w:t>
      </w:r>
      <w:r w:rsidR="0031746E" w:rsidRPr="0085459B">
        <w:rPr>
          <w:rFonts w:ascii="Times New Roman" w:hAnsi="Times New Roman" w:cs="Times New Roman"/>
        </w:rPr>
        <w:t xml:space="preserve"> innovations</w:t>
      </w:r>
      <w:r w:rsidRPr="0085459B">
        <w:rPr>
          <w:rFonts w:ascii="Times New Roman" w:hAnsi="Times New Roman" w:cs="Times New Roman"/>
        </w:rPr>
        <w:t xml:space="preserve">, </w:t>
      </w:r>
      <w:r>
        <w:rPr>
          <w:rFonts w:ascii="Times New Roman" w:hAnsi="Times New Roman" w:cs="Times New Roman"/>
        </w:rPr>
        <w:t xml:space="preserve">and perhaps </w:t>
      </w:r>
      <w:r w:rsidRPr="0085459B">
        <w:rPr>
          <w:rFonts w:ascii="Times New Roman" w:hAnsi="Times New Roman" w:cs="Times New Roman"/>
        </w:rPr>
        <w:t xml:space="preserve">adopt </w:t>
      </w:r>
      <w:r w:rsidR="0031746E">
        <w:rPr>
          <w:rFonts w:ascii="Times New Roman" w:hAnsi="Times New Roman" w:cs="Times New Roman"/>
        </w:rPr>
        <w:t>these to</w:t>
      </w:r>
      <w:r>
        <w:rPr>
          <w:rFonts w:ascii="Times New Roman" w:hAnsi="Times New Roman" w:cs="Times New Roman"/>
        </w:rPr>
        <w:t xml:space="preserve"> give their</w:t>
      </w:r>
      <w:r w:rsidRPr="0085459B">
        <w:rPr>
          <w:rFonts w:ascii="Times New Roman" w:hAnsi="Times New Roman" w:cs="Times New Roman"/>
        </w:rPr>
        <w:t xml:space="preserve"> students </w:t>
      </w:r>
      <w:r>
        <w:rPr>
          <w:rFonts w:ascii="Times New Roman" w:hAnsi="Times New Roman" w:cs="Times New Roman"/>
        </w:rPr>
        <w:t xml:space="preserve">better </w:t>
      </w:r>
      <w:r w:rsidRPr="0085459B">
        <w:rPr>
          <w:rFonts w:ascii="Times New Roman" w:hAnsi="Times New Roman" w:cs="Times New Roman"/>
        </w:rPr>
        <w:t>experience</w:t>
      </w:r>
      <w:r>
        <w:rPr>
          <w:rFonts w:ascii="Times New Roman" w:hAnsi="Times New Roman" w:cs="Times New Roman"/>
        </w:rPr>
        <w:t>s</w:t>
      </w:r>
      <w:r w:rsidRPr="0085459B">
        <w:rPr>
          <w:rFonts w:ascii="Times New Roman" w:hAnsi="Times New Roman" w:cs="Times New Roman"/>
        </w:rPr>
        <w:t xml:space="preserve">. </w:t>
      </w:r>
    </w:p>
    <w:p w14:paraId="4D58F153" w14:textId="5E62684D" w:rsidR="0001683D" w:rsidRDefault="0001683D" w:rsidP="0001683D">
      <w:pPr>
        <w:spacing w:line="480" w:lineRule="auto"/>
        <w:ind w:firstLine="720"/>
        <w:rPr>
          <w:rFonts w:ascii="Times New Roman" w:hAnsi="Times New Roman" w:cs="Times New Roman"/>
        </w:rPr>
      </w:pPr>
      <w:r w:rsidRPr="0085459B">
        <w:rPr>
          <w:rFonts w:ascii="Times New Roman" w:hAnsi="Times New Roman" w:cs="Times New Roman"/>
        </w:rPr>
        <w:t xml:space="preserve">This </w:t>
      </w:r>
      <w:r>
        <w:rPr>
          <w:rFonts w:ascii="Times New Roman" w:hAnsi="Times New Roman" w:cs="Times New Roman"/>
        </w:rPr>
        <w:t xml:space="preserve">connection process </w:t>
      </w:r>
      <w:r w:rsidRPr="0085459B">
        <w:rPr>
          <w:rFonts w:ascii="Times New Roman" w:hAnsi="Times New Roman" w:cs="Times New Roman"/>
        </w:rPr>
        <w:t>can be challenging</w:t>
      </w:r>
      <w:r>
        <w:rPr>
          <w:rFonts w:ascii="Times New Roman" w:hAnsi="Times New Roman" w:cs="Times New Roman"/>
        </w:rPr>
        <w:t>, and often ‘hit or miss’</w:t>
      </w:r>
      <w:r w:rsidRPr="0085459B">
        <w:rPr>
          <w:rFonts w:ascii="Times New Roman" w:hAnsi="Times New Roman" w:cs="Times New Roman"/>
        </w:rPr>
        <w:t xml:space="preserve">. To influence beyond our classrooms </w:t>
      </w:r>
      <w:r>
        <w:rPr>
          <w:rFonts w:ascii="Times New Roman" w:hAnsi="Times New Roman" w:cs="Times New Roman"/>
        </w:rPr>
        <w:t xml:space="preserve">thus </w:t>
      </w:r>
      <w:r w:rsidRPr="0085459B">
        <w:rPr>
          <w:rFonts w:ascii="Times New Roman" w:hAnsi="Times New Roman" w:cs="Times New Roman"/>
        </w:rPr>
        <w:t xml:space="preserve">requires a strategic approach. </w:t>
      </w:r>
      <w:r>
        <w:rPr>
          <w:rFonts w:ascii="Times New Roman" w:hAnsi="Times New Roman" w:cs="Times New Roman"/>
        </w:rPr>
        <w:t xml:space="preserve">Typically, educators </w:t>
      </w:r>
      <w:r w:rsidRPr="0085459B">
        <w:rPr>
          <w:rFonts w:ascii="Times New Roman" w:hAnsi="Times New Roman" w:cs="Times New Roman"/>
        </w:rPr>
        <w:t xml:space="preserve">disseminate practices through conferences, professional development workshops, publications and similar. However, </w:t>
      </w:r>
      <w:r>
        <w:rPr>
          <w:rFonts w:ascii="Times New Roman" w:hAnsi="Times New Roman" w:cs="Times New Roman"/>
        </w:rPr>
        <w:t xml:space="preserve">in this workshop we argue that </w:t>
      </w:r>
      <w:r w:rsidRPr="0085459B">
        <w:rPr>
          <w:rFonts w:ascii="Times New Roman" w:hAnsi="Times New Roman" w:cs="Times New Roman"/>
        </w:rPr>
        <w:t xml:space="preserve">influence as a deliberate practice requires planning. </w:t>
      </w:r>
      <w:r>
        <w:rPr>
          <w:rFonts w:ascii="Times New Roman" w:hAnsi="Times New Roman" w:cs="Times New Roman"/>
        </w:rPr>
        <w:t>W</w:t>
      </w:r>
      <w:r w:rsidRPr="0085459B">
        <w:rPr>
          <w:rFonts w:ascii="Times New Roman" w:hAnsi="Times New Roman" w:cs="Times New Roman"/>
        </w:rPr>
        <w:t xml:space="preserve">e </w:t>
      </w:r>
      <w:r>
        <w:rPr>
          <w:rFonts w:ascii="Times New Roman" w:hAnsi="Times New Roman" w:cs="Times New Roman"/>
        </w:rPr>
        <w:t xml:space="preserve">have </w:t>
      </w:r>
      <w:r w:rsidRPr="0085459B">
        <w:rPr>
          <w:rFonts w:ascii="Times New Roman" w:hAnsi="Times New Roman" w:cs="Times New Roman"/>
        </w:rPr>
        <w:t xml:space="preserve">codified a strategic </w:t>
      </w:r>
      <w:r>
        <w:rPr>
          <w:rFonts w:ascii="Times New Roman" w:hAnsi="Times New Roman" w:cs="Times New Roman"/>
        </w:rPr>
        <w:t>and empowering dissemination approach that</w:t>
      </w:r>
      <w:r w:rsidRPr="0085459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enables individual educators to </w:t>
      </w:r>
      <w:r w:rsidRPr="0085459B">
        <w:rPr>
          <w:rFonts w:ascii="Times New Roman" w:hAnsi="Times New Roman" w:cs="Times New Roman"/>
        </w:rPr>
        <w:t>take</w:t>
      </w:r>
      <w:r>
        <w:rPr>
          <w:rFonts w:ascii="Times New Roman" w:hAnsi="Times New Roman" w:cs="Times New Roman"/>
        </w:rPr>
        <w:t xml:space="preserve"> their </w:t>
      </w:r>
      <w:r w:rsidRPr="0085459B">
        <w:rPr>
          <w:rFonts w:ascii="Times New Roman" w:hAnsi="Times New Roman" w:cs="Times New Roman"/>
        </w:rPr>
        <w:t xml:space="preserve">practices from </w:t>
      </w:r>
      <w:r>
        <w:rPr>
          <w:rFonts w:ascii="Times New Roman" w:hAnsi="Times New Roman" w:cs="Times New Roman"/>
        </w:rPr>
        <w:t xml:space="preserve">their </w:t>
      </w:r>
      <w:r w:rsidRPr="0085459B">
        <w:rPr>
          <w:rFonts w:ascii="Times New Roman" w:hAnsi="Times New Roman" w:cs="Times New Roman"/>
        </w:rPr>
        <w:t>Classroom</w:t>
      </w:r>
      <w:r>
        <w:rPr>
          <w:rFonts w:ascii="Times New Roman" w:hAnsi="Times New Roman" w:cs="Times New Roman"/>
        </w:rPr>
        <w:t>s</w:t>
      </w:r>
      <w:r w:rsidRPr="0085459B">
        <w:rPr>
          <w:rFonts w:ascii="Times New Roman" w:hAnsi="Times New Roman" w:cs="Times New Roman"/>
        </w:rPr>
        <w:t xml:space="preserve">, </w:t>
      </w:r>
      <w:r>
        <w:rPr>
          <w:rFonts w:ascii="Times New Roman" w:hAnsi="Times New Roman" w:cs="Times New Roman"/>
        </w:rPr>
        <w:t xml:space="preserve">through </w:t>
      </w:r>
      <w:r w:rsidRPr="0085459B">
        <w:rPr>
          <w:rFonts w:ascii="Times New Roman" w:hAnsi="Times New Roman" w:cs="Times New Roman"/>
        </w:rPr>
        <w:t xml:space="preserve">the Corridors, </w:t>
      </w:r>
      <w:r>
        <w:rPr>
          <w:rFonts w:ascii="Times New Roman" w:hAnsi="Times New Roman" w:cs="Times New Roman"/>
        </w:rPr>
        <w:t>across</w:t>
      </w:r>
      <w:r w:rsidRPr="0085459B">
        <w:rPr>
          <w:rFonts w:ascii="Times New Roman" w:hAnsi="Times New Roman" w:cs="Times New Roman"/>
        </w:rPr>
        <w:t xml:space="preserve"> Campus and out </w:t>
      </w:r>
      <w:r>
        <w:rPr>
          <w:rFonts w:ascii="Times New Roman" w:hAnsi="Times New Roman" w:cs="Times New Roman"/>
        </w:rPr>
        <w:t>in</w:t>
      </w:r>
      <w:r w:rsidRPr="0085459B">
        <w:rPr>
          <w:rFonts w:ascii="Times New Roman" w:hAnsi="Times New Roman" w:cs="Times New Roman"/>
        </w:rPr>
        <w:t xml:space="preserve">to the Community. </w:t>
      </w:r>
      <w:r w:rsidRPr="0085459B">
        <w:rPr>
          <w:rFonts w:ascii="Times New Roman" w:hAnsi="Times New Roman" w:cs="Times New Roman"/>
          <w:color w:val="000000" w:themeColor="text1"/>
        </w:rPr>
        <w:t xml:space="preserve">The 4Cs </w:t>
      </w:r>
      <w:r>
        <w:rPr>
          <w:rFonts w:ascii="Times New Roman" w:hAnsi="Times New Roman" w:cs="Times New Roman"/>
          <w:color w:val="000000" w:themeColor="text1"/>
        </w:rPr>
        <w:t xml:space="preserve">Dissemination </w:t>
      </w:r>
      <w:r w:rsidRPr="0085459B">
        <w:rPr>
          <w:rFonts w:ascii="Times New Roman" w:hAnsi="Times New Roman" w:cs="Times New Roman"/>
          <w:color w:val="000000" w:themeColor="text1"/>
        </w:rPr>
        <w:t xml:space="preserve">Strategy </w:t>
      </w:r>
      <w:r>
        <w:rPr>
          <w:rFonts w:ascii="Times New Roman" w:hAnsi="Times New Roman" w:cs="Times New Roman"/>
          <w:color w:val="000000" w:themeColor="text1"/>
        </w:rPr>
        <w:t>(</w:t>
      </w:r>
      <w:r w:rsidR="00115F37">
        <w:rPr>
          <w:rFonts w:ascii="Times New Roman" w:hAnsi="Times New Roman" w:cs="Times New Roman"/>
          <w:color w:val="000000" w:themeColor="text1"/>
        </w:rPr>
        <w:t xml:space="preserve">Gribble &amp; Beckman, </w:t>
      </w:r>
      <w:r w:rsidRPr="0085459B">
        <w:rPr>
          <w:rFonts w:ascii="Times New Roman" w:hAnsi="Times New Roman" w:cs="Times New Roman"/>
          <w:color w:val="000000" w:themeColor="text1"/>
        </w:rPr>
        <w:t>202</w:t>
      </w:r>
      <w:r w:rsidR="0031746E">
        <w:rPr>
          <w:rFonts w:ascii="Times New Roman" w:hAnsi="Times New Roman" w:cs="Times New Roman"/>
          <w:color w:val="000000" w:themeColor="text1"/>
        </w:rPr>
        <w:t>3</w:t>
      </w:r>
      <w:r w:rsidR="009C470E">
        <w:rPr>
          <w:rFonts w:ascii="Times New Roman" w:hAnsi="Times New Roman" w:cs="Times New Roman"/>
          <w:color w:val="000000" w:themeColor="text1"/>
        </w:rPr>
        <w:t>, in press</w:t>
      </w:r>
      <w:r w:rsidRPr="0085459B">
        <w:rPr>
          <w:rFonts w:ascii="Times New Roman" w:hAnsi="Times New Roman" w:cs="Times New Roman"/>
          <w:color w:val="000000" w:themeColor="text1"/>
        </w:rPr>
        <w:t>)</w:t>
      </w:r>
      <w:r w:rsidRPr="0085459B">
        <w:rPr>
          <w:rFonts w:ascii="Times New Roman" w:hAnsi="Times New Roman" w:cs="Times New Roman"/>
        </w:rPr>
        <w:t xml:space="preserve"> </w:t>
      </w:r>
      <w:r w:rsidRPr="0085459B">
        <w:rPr>
          <w:rFonts w:ascii="Times New Roman" w:hAnsi="Times New Roman" w:cs="Times New Roman"/>
          <w:color w:val="000000" w:themeColor="text1"/>
        </w:rPr>
        <w:t xml:space="preserve">guides educators to think consciously about their connections </w:t>
      </w:r>
      <w:r w:rsidRPr="0085459B">
        <w:rPr>
          <w:rFonts w:ascii="Times New Roman" w:hAnsi="Times New Roman" w:cs="Times New Roman"/>
          <w:color w:val="000000" w:themeColor="text1"/>
          <w:shd w:val="clear" w:color="auto" w:fill="FFFFFF"/>
        </w:rPr>
        <w:t>to their students, colleagues, institution and broader networks</w:t>
      </w:r>
      <w:r w:rsidRPr="0085459B">
        <w:rPr>
          <w:rFonts w:ascii="Times New Roman" w:hAnsi="Times New Roman" w:cs="Times New Roman"/>
          <w:color w:val="000000" w:themeColor="text1"/>
        </w:rPr>
        <w:t xml:space="preserve"> in all these spheres of influence, facilitating opportunities for them to structure explanations and disseminate their innovations to the right people at the right time. </w:t>
      </w:r>
      <w:r w:rsidRPr="0085459B">
        <w:rPr>
          <w:rFonts w:ascii="Times New Roman" w:hAnsi="Times New Roman" w:cs="Times New Roman"/>
        </w:rPr>
        <w:t xml:space="preserve">In taking this strategic approach, we argue </w:t>
      </w:r>
      <w:r>
        <w:rPr>
          <w:rFonts w:ascii="Times New Roman" w:hAnsi="Times New Roman" w:cs="Times New Roman"/>
        </w:rPr>
        <w:t xml:space="preserve">educators </w:t>
      </w:r>
      <w:r w:rsidRPr="0085459B">
        <w:rPr>
          <w:rFonts w:ascii="Times New Roman" w:hAnsi="Times New Roman" w:cs="Times New Roman"/>
        </w:rPr>
        <w:t xml:space="preserve">can increase </w:t>
      </w:r>
      <w:r>
        <w:rPr>
          <w:rFonts w:ascii="Times New Roman" w:hAnsi="Times New Roman" w:cs="Times New Roman"/>
        </w:rPr>
        <w:t>thei</w:t>
      </w:r>
      <w:r w:rsidRPr="0085459B">
        <w:rPr>
          <w:rFonts w:ascii="Times New Roman" w:hAnsi="Times New Roman" w:cs="Times New Roman"/>
        </w:rPr>
        <w:t xml:space="preserve">r spheres of influence and impact, changing </w:t>
      </w:r>
      <w:r>
        <w:rPr>
          <w:rFonts w:ascii="Times New Roman" w:hAnsi="Times New Roman" w:cs="Times New Roman"/>
        </w:rPr>
        <w:t>teaching</w:t>
      </w:r>
      <w:r w:rsidRPr="0085459B">
        <w:rPr>
          <w:rFonts w:ascii="Times New Roman" w:hAnsi="Times New Roman" w:cs="Times New Roman"/>
        </w:rPr>
        <w:t xml:space="preserve"> practices beyond </w:t>
      </w:r>
      <w:r>
        <w:rPr>
          <w:rFonts w:ascii="Times New Roman" w:hAnsi="Times New Roman" w:cs="Times New Roman"/>
        </w:rPr>
        <w:t>their</w:t>
      </w:r>
      <w:r w:rsidRPr="0085459B">
        <w:rPr>
          <w:rFonts w:ascii="Times New Roman" w:hAnsi="Times New Roman" w:cs="Times New Roman"/>
        </w:rPr>
        <w:t xml:space="preserve"> classroom and supporting peers and colleagues</w:t>
      </w:r>
      <w:r>
        <w:rPr>
          <w:rFonts w:ascii="Times New Roman" w:hAnsi="Times New Roman" w:cs="Times New Roman"/>
        </w:rPr>
        <w:t xml:space="preserve"> to do so</w:t>
      </w:r>
      <w:r w:rsidRPr="003F064B">
        <w:rPr>
          <w:rFonts w:ascii="Times New Roman" w:hAnsi="Times New Roman" w:cs="Times New Roman"/>
        </w:rPr>
        <w:t xml:space="preserve"> </w:t>
      </w:r>
      <w:r>
        <w:rPr>
          <w:rFonts w:ascii="Times New Roman" w:hAnsi="Times New Roman" w:cs="Times New Roman"/>
        </w:rPr>
        <w:t>also</w:t>
      </w:r>
      <w:r w:rsidRPr="0085459B">
        <w:rPr>
          <w:rFonts w:ascii="Times New Roman" w:hAnsi="Times New Roman" w:cs="Times New Roman"/>
        </w:rPr>
        <w:t>.</w:t>
      </w:r>
    </w:p>
    <w:p w14:paraId="682ED08C" w14:textId="40FC5FDA" w:rsidR="0001683D" w:rsidRPr="0085459B" w:rsidRDefault="0001683D" w:rsidP="0001683D">
      <w:pPr>
        <w:spacing w:line="480" w:lineRule="auto"/>
        <w:ind w:firstLine="720"/>
        <w:rPr>
          <w:rFonts w:ascii="Times New Roman" w:hAnsi="Times New Roman" w:cs="Times New Roman"/>
        </w:rPr>
      </w:pPr>
      <w:r>
        <w:rPr>
          <w:rFonts w:ascii="Times New Roman" w:hAnsi="Times New Roman" w:cs="Times New Roman"/>
        </w:rPr>
        <w:lastRenderedPageBreak/>
        <w:t xml:space="preserve">This roundtable discussion will explore </w:t>
      </w:r>
      <w:r w:rsidR="00A924F2">
        <w:rPr>
          <w:rFonts w:ascii="Times New Roman" w:hAnsi="Times New Roman" w:cs="Times New Roman"/>
        </w:rPr>
        <w:t xml:space="preserve">ways of </w:t>
      </w:r>
      <w:r>
        <w:rPr>
          <w:rFonts w:ascii="Times New Roman" w:hAnsi="Times New Roman" w:cs="Times New Roman"/>
        </w:rPr>
        <w:t xml:space="preserve">expanding influence in a strategic manner to increase impact measurably and sustainably. Applying the 4Cs Strategy to their own </w:t>
      </w:r>
      <w:r w:rsidR="008F7371">
        <w:rPr>
          <w:rFonts w:ascii="Times New Roman" w:hAnsi="Times New Roman" w:cs="Times New Roman"/>
        </w:rPr>
        <w:t>context, participants</w:t>
      </w:r>
      <w:r>
        <w:rPr>
          <w:rFonts w:ascii="Times New Roman" w:hAnsi="Times New Roman" w:cs="Times New Roman"/>
        </w:rPr>
        <w:t xml:space="preserve"> will design their own pathways to increase their influence. As management and organisational behaviour teachers and educators, this roundtable will enable participants to move from the inputs of education (activity) to the outputs (measurable impacts) of influence in their daily activities.</w:t>
      </w:r>
    </w:p>
    <w:p w14:paraId="67036B11" w14:textId="77777777" w:rsidR="0001683D" w:rsidRPr="0085459B" w:rsidRDefault="0001683D" w:rsidP="0001683D">
      <w:pPr>
        <w:spacing w:line="480" w:lineRule="auto"/>
        <w:rPr>
          <w:rFonts w:ascii="Times New Roman" w:hAnsi="Times New Roman" w:cs="Times New Roman"/>
          <w:b/>
          <w:bCs/>
        </w:rPr>
      </w:pPr>
      <w:r>
        <w:rPr>
          <w:rFonts w:ascii="Times New Roman" w:hAnsi="Times New Roman" w:cs="Times New Roman"/>
          <w:b/>
          <w:bCs/>
        </w:rPr>
        <w:t>Measuring influence and impact: a brief consideration of the literature</w:t>
      </w:r>
    </w:p>
    <w:p w14:paraId="092F4DB6" w14:textId="77B36F06" w:rsidR="0001683D" w:rsidRPr="0085459B" w:rsidRDefault="0001683D" w:rsidP="0001683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Educators are faced with many competing and conflicting demands during the daily activities of teaching. Consequently, when asked about influence or impact, educators often grapple with metrics such as numbers taught, student satisfaction ratings, or revenue earned for our schools. Some may be able to identify benefits to disadvantaged learners or measure social change by students’ employment outcomes or increases in earning capability. However, impact beyond the activity of teaching may be much harder to quantify or describe. Yet innovation and positive changes to educational practice occur frequently in </w:t>
      </w:r>
      <w:r w:rsidR="008F7371">
        <w:rPr>
          <w:rFonts w:ascii="Times New Roman" w:hAnsi="Times New Roman" w:cs="Times New Roman"/>
          <w:color w:val="000000" w:themeColor="text1"/>
        </w:rPr>
        <w:t>physical</w:t>
      </w:r>
      <w:r>
        <w:rPr>
          <w:rFonts w:ascii="Times New Roman" w:hAnsi="Times New Roman" w:cs="Times New Roman"/>
          <w:color w:val="000000" w:themeColor="text1"/>
        </w:rPr>
        <w:t xml:space="preserve"> or virtual classrooms. To have impact, these changes need to be adopted and adapted by others. Just telling people to adopt new practices is not helpful: </w:t>
      </w:r>
      <w:r w:rsidRPr="0085459B">
        <w:rPr>
          <w:rFonts w:ascii="Times New Roman" w:hAnsi="Times New Roman" w:cs="Times New Roman"/>
          <w:color w:val="000000" w:themeColor="text1"/>
        </w:rPr>
        <w:t>Liu et al. (2020) show</w:t>
      </w:r>
      <w:r>
        <w:rPr>
          <w:rFonts w:ascii="Times New Roman" w:hAnsi="Times New Roman" w:cs="Times New Roman"/>
          <w:color w:val="000000" w:themeColor="text1"/>
        </w:rPr>
        <w:t xml:space="preserve">ed </w:t>
      </w:r>
      <w:r w:rsidRPr="0085459B">
        <w:rPr>
          <w:rFonts w:ascii="Times New Roman" w:hAnsi="Times New Roman" w:cs="Times New Roman"/>
          <w:color w:val="000000" w:themeColor="text1"/>
        </w:rPr>
        <w:t xml:space="preserve">the adoption of learning technologies </w:t>
      </w:r>
      <w:r>
        <w:rPr>
          <w:rFonts w:ascii="Times New Roman" w:hAnsi="Times New Roman" w:cs="Times New Roman"/>
          <w:color w:val="000000" w:themeColor="text1"/>
        </w:rPr>
        <w:t xml:space="preserve">by academics </w:t>
      </w:r>
      <w:r w:rsidRPr="0085459B">
        <w:rPr>
          <w:rFonts w:ascii="Times New Roman" w:hAnsi="Times New Roman" w:cs="Times New Roman"/>
          <w:color w:val="000000" w:themeColor="text1"/>
        </w:rPr>
        <w:t xml:space="preserve">to be complex, unpredictable, highly subject to contextual influence, and rarely achieving an institution’s aspirational goals. </w:t>
      </w:r>
      <w:r>
        <w:rPr>
          <w:rFonts w:ascii="Times New Roman" w:hAnsi="Times New Roman" w:cs="Times New Roman"/>
          <w:color w:val="000000" w:themeColor="text1"/>
        </w:rPr>
        <w:t>T</w:t>
      </w:r>
      <w:r w:rsidRPr="0085459B">
        <w:rPr>
          <w:rFonts w:ascii="Times New Roman" w:hAnsi="Times New Roman" w:cs="Times New Roman"/>
          <w:color w:val="000000" w:themeColor="text1"/>
        </w:rPr>
        <w:t xml:space="preserve">o </w:t>
      </w:r>
      <w:r>
        <w:rPr>
          <w:rFonts w:ascii="Times New Roman" w:hAnsi="Times New Roman" w:cs="Times New Roman"/>
          <w:color w:val="000000" w:themeColor="text1"/>
        </w:rPr>
        <w:t>be accepted</w:t>
      </w:r>
      <w:r w:rsidRPr="0085459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new technology </w:t>
      </w:r>
      <w:r w:rsidRPr="0085459B">
        <w:rPr>
          <w:rFonts w:ascii="Times New Roman" w:hAnsi="Times New Roman" w:cs="Times New Roman"/>
          <w:color w:val="000000" w:themeColor="text1"/>
        </w:rPr>
        <w:t xml:space="preserve">must align with </w:t>
      </w:r>
      <w:r>
        <w:rPr>
          <w:rFonts w:ascii="Times New Roman" w:hAnsi="Times New Roman" w:cs="Times New Roman"/>
          <w:color w:val="000000" w:themeColor="text1"/>
        </w:rPr>
        <w:t>academics’</w:t>
      </w:r>
      <w:r w:rsidRPr="0085459B">
        <w:rPr>
          <w:rFonts w:ascii="Times New Roman" w:hAnsi="Times New Roman" w:cs="Times New Roman"/>
          <w:color w:val="000000" w:themeColor="text1"/>
        </w:rPr>
        <w:t xml:space="preserve"> pedagogical beliefs, </w:t>
      </w:r>
      <w:proofErr w:type="gramStart"/>
      <w:r w:rsidRPr="0085459B">
        <w:rPr>
          <w:rFonts w:ascii="Times New Roman" w:hAnsi="Times New Roman" w:cs="Times New Roman"/>
          <w:color w:val="000000" w:themeColor="text1"/>
        </w:rPr>
        <w:t>practices</w:t>
      </w:r>
      <w:proofErr w:type="gramEnd"/>
      <w:r w:rsidRPr="0085459B">
        <w:rPr>
          <w:rFonts w:ascii="Times New Roman" w:hAnsi="Times New Roman" w:cs="Times New Roman"/>
          <w:color w:val="000000" w:themeColor="text1"/>
        </w:rPr>
        <w:t xml:space="preserve"> and capabilities, </w:t>
      </w:r>
      <w:r>
        <w:rPr>
          <w:rFonts w:ascii="Times New Roman" w:hAnsi="Times New Roman" w:cs="Times New Roman"/>
          <w:color w:val="000000" w:themeColor="text1"/>
        </w:rPr>
        <w:t xml:space="preserve">and </w:t>
      </w:r>
      <w:r w:rsidRPr="0085459B">
        <w:rPr>
          <w:rFonts w:ascii="Times New Roman" w:hAnsi="Times New Roman" w:cs="Times New Roman"/>
          <w:color w:val="000000" w:themeColor="text1"/>
        </w:rPr>
        <w:t xml:space="preserve">must be considered to be </w:t>
      </w:r>
      <w:r>
        <w:rPr>
          <w:rFonts w:ascii="Times New Roman" w:hAnsi="Times New Roman" w:cs="Times New Roman"/>
          <w:color w:val="000000" w:themeColor="text1"/>
        </w:rPr>
        <w:t>within a</w:t>
      </w:r>
      <w:r w:rsidRPr="0085459B">
        <w:rPr>
          <w:rFonts w:ascii="Times New Roman" w:hAnsi="Times New Roman" w:cs="Times New Roman"/>
          <w:color w:val="000000" w:themeColor="text1"/>
        </w:rPr>
        <w:t xml:space="preserve"> personal level of control (Liu et al., 2020). The social aspect of dissemination must </w:t>
      </w:r>
      <w:r>
        <w:rPr>
          <w:rFonts w:ascii="Times New Roman" w:hAnsi="Times New Roman" w:cs="Times New Roman"/>
          <w:color w:val="000000" w:themeColor="text1"/>
        </w:rPr>
        <w:t xml:space="preserve">thus </w:t>
      </w:r>
      <w:r w:rsidRPr="0085459B">
        <w:rPr>
          <w:rFonts w:ascii="Times New Roman" w:hAnsi="Times New Roman" w:cs="Times New Roman"/>
          <w:color w:val="000000" w:themeColor="text1"/>
        </w:rPr>
        <w:t xml:space="preserve">be considered as an act of change (Mayer &amp; Davidson, 2000). </w:t>
      </w:r>
      <w:r>
        <w:rPr>
          <w:rFonts w:ascii="Times New Roman" w:hAnsi="Times New Roman" w:cs="Times New Roman"/>
          <w:color w:val="000000" w:themeColor="text1"/>
        </w:rPr>
        <w:t>Nevertheless, t</w:t>
      </w:r>
      <w:r w:rsidRPr="0085459B">
        <w:rPr>
          <w:rFonts w:ascii="Times New Roman" w:hAnsi="Times New Roman" w:cs="Times New Roman"/>
          <w:color w:val="000000" w:themeColor="text1"/>
        </w:rPr>
        <w:t xml:space="preserve">he pandemic taught us much </w:t>
      </w:r>
      <w:r>
        <w:rPr>
          <w:rFonts w:ascii="Times New Roman" w:hAnsi="Times New Roman" w:cs="Times New Roman"/>
          <w:color w:val="000000" w:themeColor="text1"/>
        </w:rPr>
        <w:t>about</w:t>
      </w:r>
      <w:r w:rsidRPr="0085459B">
        <w:rPr>
          <w:rFonts w:ascii="Times New Roman" w:hAnsi="Times New Roman" w:cs="Times New Roman"/>
          <w:color w:val="000000" w:themeColor="text1"/>
        </w:rPr>
        <w:t xml:space="preserve"> how personal dissemination works quickly and efficiently</w:t>
      </w:r>
      <w:r>
        <w:rPr>
          <w:rFonts w:ascii="Times New Roman" w:hAnsi="Times New Roman" w:cs="Times New Roman"/>
          <w:color w:val="000000" w:themeColor="text1"/>
        </w:rPr>
        <w:t>: i</w:t>
      </w:r>
      <w:r w:rsidRPr="0085459B">
        <w:rPr>
          <w:rFonts w:ascii="Times New Roman" w:hAnsi="Times New Roman" w:cs="Times New Roman"/>
          <w:color w:val="000000" w:themeColor="text1"/>
        </w:rPr>
        <w:t>t put ‘influencers’ in</w:t>
      </w:r>
      <w:r>
        <w:rPr>
          <w:rFonts w:ascii="Times New Roman" w:hAnsi="Times New Roman" w:cs="Times New Roman"/>
          <w:color w:val="000000" w:themeColor="text1"/>
        </w:rPr>
        <w:t>to</w:t>
      </w:r>
      <w:r w:rsidRPr="0085459B">
        <w:rPr>
          <w:rFonts w:ascii="Times New Roman" w:hAnsi="Times New Roman" w:cs="Times New Roman"/>
          <w:color w:val="000000" w:themeColor="text1"/>
        </w:rPr>
        <w:t xml:space="preserve"> the ‘driver’s seat’ and at the centre of change.</w:t>
      </w:r>
    </w:p>
    <w:p w14:paraId="76C4ED1F" w14:textId="754F2EC9" w:rsidR="0001683D" w:rsidRDefault="0001683D" w:rsidP="0001683D">
      <w:pPr>
        <w:spacing w:line="480" w:lineRule="auto"/>
        <w:rPr>
          <w:rFonts w:ascii="Times New Roman" w:hAnsi="Times New Roman" w:cs="Times New Roman"/>
          <w:szCs w:val="20"/>
        </w:rPr>
      </w:pPr>
      <w:r>
        <w:rPr>
          <w:rFonts w:ascii="Times New Roman" w:hAnsi="Times New Roman" w:cs="Times New Roman"/>
          <w:b/>
          <w:bCs/>
        </w:rPr>
        <w:lastRenderedPageBreak/>
        <w:tab/>
      </w:r>
      <w:r w:rsidRPr="002A0C84">
        <w:rPr>
          <w:rFonts w:ascii="Times New Roman" w:hAnsi="Times New Roman" w:cs="Times New Roman"/>
        </w:rPr>
        <w:t xml:space="preserve">The highly cited </w:t>
      </w:r>
      <w:r w:rsidRPr="002A0C84">
        <w:rPr>
          <w:rFonts w:ascii="Times New Roman" w:hAnsi="Times New Roman" w:cs="Times New Roman"/>
          <w:szCs w:val="20"/>
        </w:rPr>
        <w:t xml:space="preserve">Impact Management Planning and Evaluation Ladder (Hinton, 2016) </w:t>
      </w:r>
      <w:r>
        <w:rPr>
          <w:rFonts w:ascii="Times New Roman" w:hAnsi="Times New Roman" w:cs="Times New Roman"/>
          <w:szCs w:val="20"/>
        </w:rPr>
        <w:t>presents</w:t>
      </w:r>
      <w:r w:rsidRPr="002A0C84">
        <w:rPr>
          <w:rFonts w:ascii="Times New Roman" w:hAnsi="Times New Roman" w:cs="Times New Roman"/>
          <w:szCs w:val="20"/>
        </w:rPr>
        <w:t xml:space="preserve"> dissemination simplistically as ‘spreading the word’ but offers little by way of how or what should be measured</w:t>
      </w:r>
      <w:r>
        <w:rPr>
          <w:rFonts w:ascii="Times New Roman" w:hAnsi="Times New Roman" w:cs="Times New Roman"/>
          <w:szCs w:val="20"/>
        </w:rPr>
        <w:t xml:space="preserve"> to show influence</w:t>
      </w:r>
      <w:r w:rsidRPr="002A0C84">
        <w:rPr>
          <w:rFonts w:ascii="Times New Roman" w:hAnsi="Times New Roman" w:cs="Times New Roman"/>
          <w:szCs w:val="20"/>
        </w:rPr>
        <w:t xml:space="preserve">. </w:t>
      </w:r>
      <w:r w:rsidRPr="00394CD7">
        <w:rPr>
          <w:rFonts w:ascii="Times New Roman" w:hAnsi="Times New Roman" w:cs="Times New Roman"/>
          <w:bdr w:val="none" w:sz="0" w:space="0" w:color="auto" w:frame="1"/>
          <w:shd w:val="clear" w:color="auto" w:fill="FCFCFC"/>
        </w:rPr>
        <w:t>Measurable ‘impact’ on students, colleagues and institutional practice requires evidence of evaluation, dissemination and uptake of innovations by others as a key criterion.</w:t>
      </w:r>
      <w:r>
        <w:rPr>
          <w:bdr w:val="none" w:sz="0" w:space="0" w:color="auto" w:frame="1"/>
          <w:shd w:val="clear" w:color="auto" w:fill="FCFCFC"/>
        </w:rPr>
        <w:t xml:space="preserve"> </w:t>
      </w:r>
      <w:r w:rsidRPr="00394CD7">
        <w:rPr>
          <w:rFonts w:ascii="Times New Roman" w:hAnsi="Times New Roman" w:cs="Times New Roman"/>
          <w:bdr w:val="none" w:sz="0" w:space="0" w:color="auto" w:frame="1"/>
          <w:shd w:val="clear" w:color="auto" w:fill="FCFCFC"/>
        </w:rPr>
        <w:t xml:space="preserve">However, </w:t>
      </w:r>
      <w:r>
        <w:rPr>
          <w:rFonts w:ascii="Times New Roman" w:hAnsi="Times New Roman" w:cs="Times New Roman"/>
          <w:bdr w:val="none" w:sz="0" w:space="0" w:color="auto" w:frame="1"/>
          <w:shd w:val="clear" w:color="auto" w:fill="FCFCFC"/>
        </w:rPr>
        <w:t xml:space="preserve">much of this relevant evidence is </w:t>
      </w:r>
      <w:r w:rsidRPr="00394CD7">
        <w:rPr>
          <w:rFonts w:ascii="Times New Roman" w:hAnsi="Times New Roman" w:cs="Times New Roman"/>
          <w:bdr w:val="none" w:sz="0" w:space="0" w:color="auto" w:frame="1"/>
          <w:shd w:val="clear" w:color="auto" w:fill="FCFCFC"/>
        </w:rPr>
        <w:t xml:space="preserve">often collected </w:t>
      </w:r>
      <w:r w:rsidRPr="0091332E">
        <w:rPr>
          <w:rFonts w:ascii="Times New Roman" w:hAnsi="Times New Roman" w:cs="Times New Roman"/>
          <w:i/>
          <w:iCs/>
          <w:bdr w:val="none" w:sz="0" w:space="0" w:color="auto" w:frame="1"/>
          <w:shd w:val="clear" w:color="auto" w:fill="FCFCFC"/>
        </w:rPr>
        <w:t>ad hoc</w:t>
      </w:r>
      <w:r w:rsidRPr="00394CD7">
        <w:rPr>
          <w:rFonts w:ascii="Times New Roman" w:hAnsi="Times New Roman" w:cs="Times New Roman"/>
          <w:bdr w:val="none" w:sz="0" w:space="0" w:color="auto" w:frame="1"/>
          <w:shd w:val="clear" w:color="auto" w:fill="FCFCFC"/>
        </w:rPr>
        <w:t xml:space="preserve"> at the instigation of the </w:t>
      </w:r>
      <w:r w:rsidR="008F7371" w:rsidRPr="00394CD7">
        <w:rPr>
          <w:rFonts w:ascii="Times New Roman" w:hAnsi="Times New Roman" w:cs="Times New Roman"/>
          <w:bdr w:val="none" w:sz="0" w:space="0" w:color="auto" w:frame="1"/>
          <w:shd w:val="clear" w:color="auto" w:fill="FCFCFC"/>
        </w:rPr>
        <w:t>teacher</w:t>
      </w:r>
      <w:r w:rsidR="008F7371">
        <w:rPr>
          <w:rFonts w:ascii="Times New Roman" w:hAnsi="Times New Roman" w:cs="Times New Roman"/>
          <w:bdr w:val="none" w:sz="0" w:space="0" w:color="auto" w:frame="1"/>
          <w:shd w:val="clear" w:color="auto" w:fill="FCFCFC"/>
        </w:rPr>
        <w:t xml:space="preserve"> and</w:t>
      </w:r>
      <w:r>
        <w:rPr>
          <w:rFonts w:ascii="Times New Roman" w:hAnsi="Times New Roman" w:cs="Times New Roman"/>
          <w:bdr w:val="none" w:sz="0" w:space="0" w:color="auto" w:frame="1"/>
          <w:shd w:val="clear" w:color="auto" w:fill="FCFCFC"/>
        </w:rPr>
        <w:t xml:space="preserve"> is (</w:t>
      </w:r>
      <w:r w:rsidRPr="00394CD7">
        <w:rPr>
          <w:rFonts w:ascii="Times New Roman" w:hAnsi="Times New Roman" w:cs="Times New Roman"/>
          <w:bdr w:val="none" w:sz="0" w:space="0" w:color="auto" w:frame="1"/>
          <w:shd w:val="clear" w:color="auto" w:fill="FCFCFC"/>
        </w:rPr>
        <w:t xml:space="preserve">often </w:t>
      </w:r>
      <w:r>
        <w:rPr>
          <w:rFonts w:ascii="Times New Roman" w:hAnsi="Times New Roman" w:cs="Times New Roman"/>
          <w:bdr w:val="none" w:sz="0" w:space="0" w:color="auto" w:frame="1"/>
          <w:shd w:val="clear" w:color="auto" w:fill="FCFCFC"/>
        </w:rPr>
        <w:t xml:space="preserve">unfairly) </w:t>
      </w:r>
      <w:r w:rsidRPr="00394CD7">
        <w:rPr>
          <w:rFonts w:ascii="Times New Roman" w:hAnsi="Times New Roman" w:cs="Times New Roman"/>
          <w:bdr w:val="none" w:sz="0" w:space="0" w:color="auto" w:frame="1"/>
          <w:shd w:val="clear" w:color="auto" w:fill="FCFCFC"/>
        </w:rPr>
        <w:t xml:space="preserve">seen as </w:t>
      </w:r>
      <w:r>
        <w:rPr>
          <w:rFonts w:ascii="Times New Roman" w:hAnsi="Times New Roman" w:cs="Times New Roman"/>
          <w:bdr w:val="none" w:sz="0" w:space="0" w:color="auto" w:frame="1"/>
          <w:shd w:val="clear" w:color="auto" w:fill="FCFCFC"/>
        </w:rPr>
        <w:t>‘</w:t>
      </w:r>
      <w:r w:rsidRPr="00394CD7">
        <w:rPr>
          <w:rFonts w:ascii="Times New Roman" w:hAnsi="Times New Roman" w:cs="Times New Roman"/>
          <w:bdr w:val="none" w:sz="0" w:space="0" w:color="auto" w:frame="1"/>
          <w:shd w:val="clear" w:color="auto" w:fill="FCFCFC"/>
        </w:rPr>
        <w:t>anecdotal</w:t>
      </w:r>
      <w:r>
        <w:rPr>
          <w:rFonts w:ascii="Times New Roman" w:hAnsi="Times New Roman" w:cs="Times New Roman"/>
          <w:bdr w:val="none" w:sz="0" w:space="0" w:color="auto" w:frame="1"/>
          <w:shd w:val="clear" w:color="auto" w:fill="FCFCFC"/>
        </w:rPr>
        <w:t>’.</w:t>
      </w:r>
      <w:r w:rsidRPr="00394CD7">
        <w:rPr>
          <w:rFonts w:ascii="Times New Roman" w:hAnsi="Times New Roman" w:cs="Times New Roman"/>
          <w:bdr w:val="none" w:sz="0" w:space="0" w:color="auto" w:frame="1"/>
          <w:shd w:val="clear" w:color="auto" w:fill="FCFCFC"/>
        </w:rPr>
        <w:t xml:space="preserve"> </w:t>
      </w:r>
      <w:r>
        <w:rPr>
          <w:rFonts w:ascii="Times New Roman" w:hAnsi="Times New Roman" w:cs="Times New Roman"/>
        </w:rPr>
        <w:t xml:space="preserve">Much of the work on research impact to date has focused on publication metrics, while </w:t>
      </w:r>
      <w:r>
        <w:rPr>
          <w:rFonts w:ascii="Times New Roman" w:hAnsi="Times New Roman" w:cs="Times New Roman"/>
          <w:szCs w:val="20"/>
        </w:rPr>
        <w:t>teaching-focused academics may seek institutional or national awards as recognition of their work. Yet, a</w:t>
      </w:r>
      <w:r>
        <w:rPr>
          <w:rFonts w:ascii="Times New Roman" w:hAnsi="Times New Roman" w:cs="Times New Roman"/>
        </w:rPr>
        <w:t xml:space="preserve">s mentioned, </w:t>
      </w:r>
      <w:r w:rsidRPr="0085459B">
        <w:rPr>
          <w:rFonts w:ascii="Times New Roman" w:hAnsi="Times New Roman" w:cs="Times New Roman"/>
        </w:rPr>
        <w:t xml:space="preserve">educators </w:t>
      </w:r>
      <w:r>
        <w:rPr>
          <w:rFonts w:ascii="Times New Roman" w:hAnsi="Times New Roman" w:cs="Times New Roman"/>
        </w:rPr>
        <w:t>are generally continually</w:t>
      </w:r>
      <w:r w:rsidRPr="0085459B">
        <w:rPr>
          <w:rFonts w:ascii="Times New Roman" w:hAnsi="Times New Roman" w:cs="Times New Roman"/>
        </w:rPr>
        <w:t xml:space="preserve"> </w:t>
      </w:r>
      <w:r>
        <w:rPr>
          <w:rFonts w:ascii="Times New Roman" w:hAnsi="Times New Roman" w:cs="Times New Roman"/>
        </w:rPr>
        <w:t xml:space="preserve">tweaking, often to the point of </w:t>
      </w:r>
      <w:r w:rsidRPr="0085459B">
        <w:rPr>
          <w:rFonts w:ascii="Times New Roman" w:hAnsi="Times New Roman" w:cs="Times New Roman"/>
        </w:rPr>
        <w:t>innovat</w:t>
      </w:r>
      <w:r>
        <w:rPr>
          <w:rFonts w:ascii="Times New Roman" w:hAnsi="Times New Roman" w:cs="Times New Roman"/>
        </w:rPr>
        <w:t>ion</w:t>
      </w:r>
      <w:r w:rsidRPr="0085459B">
        <w:rPr>
          <w:rFonts w:ascii="Times New Roman" w:hAnsi="Times New Roman" w:cs="Times New Roman"/>
        </w:rPr>
        <w:t xml:space="preserve">. They solve </w:t>
      </w:r>
      <w:r>
        <w:rPr>
          <w:rFonts w:ascii="Times New Roman" w:hAnsi="Times New Roman" w:cs="Times New Roman"/>
        </w:rPr>
        <w:t xml:space="preserve">teaching </w:t>
      </w:r>
      <w:r w:rsidRPr="0085459B">
        <w:rPr>
          <w:rFonts w:ascii="Times New Roman" w:hAnsi="Times New Roman" w:cs="Times New Roman"/>
        </w:rPr>
        <w:t xml:space="preserve">problems in real time in response to what is occurring in their classroom and for their students. These ‘discoveries’ </w:t>
      </w:r>
      <w:r>
        <w:rPr>
          <w:rFonts w:ascii="Times New Roman" w:hAnsi="Times New Roman" w:cs="Times New Roman"/>
        </w:rPr>
        <w:t xml:space="preserve">of new practices </w:t>
      </w:r>
      <w:r w:rsidRPr="0085459B">
        <w:rPr>
          <w:rFonts w:ascii="Times New Roman" w:hAnsi="Times New Roman" w:cs="Times New Roman"/>
        </w:rPr>
        <w:t xml:space="preserve">risk </w:t>
      </w:r>
      <w:r>
        <w:rPr>
          <w:rFonts w:ascii="Times New Roman" w:hAnsi="Times New Roman" w:cs="Times New Roman"/>
        </w:rPr>
        <w:t xml:space="preserve">remaining </w:t>
      </w:r>
      <w:r w:rsidRPr="0085459B">
        <w:rPr>
          <w:rFonts w:ascii="Times New Roman" w:hAnsi="Times New Roman" w:cs="Times New Roman"/>
        </w:rPr>
        <w:t>in the classroom</w:t>
      </w:r>
      <w:r>
        <w:rPr>
          <w:rFonts w:ascii="Times New Roman" w:hAnsi="Times New Roman" w:cs="Times New Roman"/>
        </w:rPr>
        <w:t>: c</w:t>
      </w:r>
      <w:r w:rsidRPr="0085459B">
        <w:rPr>
          <w:rFonts w:ascii="Times New Roman" w:hAnsi="Times New Roman" w:cs="Times New Roman"/>
        </w:rPr>
        <w:t xml:space="preserve">hanges and innovations need to be scaled, adopted and adapted to lead to longer term change that </w:t>
      </w:r>
      <w:r>
        <w:rPr>
          <w:rFonts w:ascii="Times New Roman" w:hAnsi="Times New Roman" w:cs="Times New Roman"/>
        </w:rPr>
        <w:t>creates wider</w:t>
      </w:r>
      <w:r w:rsidRPr="0085459B">
        <w:rPr>
          <w:rFonts w:ascii="Times New Roman" w:hAnsi="Times New Roman" w:cs="Times New Roman"/>
        </w:rPr>
        <w:t xml:space="preserve"> impact. </w:t>
      </w:r>
      <w:r>
        <w:rPr>
          <w:rFonts w:ascii="Times New Roman" w:hAnsi="Times New Roman" w:cs="Times New Roman"/>
        </w:rPr>
        <w:t>Trying to d</w:t>
      </w:r>
      <w:r w:rsidRPr="0085459B">
        <w:rPr>
          <w:rFonts w:ascii="Times New Roman" w:hAnsi="Times New Roman" w:cs="Times New Roman"/>
        </w:rPr>
        <w:t>isseminat</w:t>
      </w:r>
      <w:r>
        <w:rPr>
          <w:rFonts w:ascii="Times New Roman" w:hAnsi="Times New Roman" w:cs="Times New Roman"/>
        </w:rPr>
        <w:t>e simple improvements in</w:t>
      </w:r>
      <w:r w:rsidRPr="0085459B">
        <w:rPr>
          <w:rFonts w:ascii="Times New Roman" w:hAnsi="Times New Roman" w:cs="Times New Roman"/>
        </w:rPr>
        <w:t xml:space="preserve"> teaching practice through publications </w:t>
      </w:r>
      <w:r>
        <w:rPr>
          <w:rFonts w:ascii="Times New Roman" w:hAnsi="Times New Roman" w:cs="Times New Roman"/>
        </w:rPr>
        <w:t xml:space="preserve">is very difficult, and </w:t>
      </w:r>
      <w:r w:rsidRPr="0085459B">
        <w:rPr>
          <w:rFonts w:ascii="Times New Roman" w:hAnsi="Times New Roman" w:cs="Times New Roman"/>
        </w:rPr>
        <w:t xml:space="preserve">risks losing the </w:t>
      </w:r>
      <w:r>
        <w:rPr>
          <w:rFonts w:ascii="Times New Roman" w:hAnsi="Times New Roman" w:cs="Times New Roman"/>
        </w:rPr>
        <w:t xml:space="preserve">collegial </w:t>
      </w:r>
      <w:r w:rsidRPr="0085459B">
        <w:rPr>
          <w:rFonts w:ascii="Times New Roman" w:hAnsi="Times New Roman" w:cs="Times New Roman"/>
        </w:rPr>
        <w:t xml:space="preserve">interaction on which good teaching is based. </w:t>
      </w:r>
      <w:r>
        <w:rPr>
          <w:rFonts w:ascii="Times New Roman" w:hAnsi="Times New Roman" w:cs="Times New Roman"/>
        </w:rPr>
        <w:t>O</w:t>
      </w:r>
      <w:r w:rsidRPr="0085459B">
        <w:rPr>
          <w:rFonts w:ascii="Times New Roman" w:hAnsi="Times New Roman" w:cs="Times New Roman"/>
        </w:rPr>
        <w:t>bservational methods</w:t>
      </w:r>
      <w:r>
        <w:rPr>
          <w:rFonts w:ascii="Times New Roman" w:hAnsi="Times New Roman" w:cs="Times New Roman"/>
        </w:rPr>
        <w:t>, such as summative peer review of teaching,</w:t>
      </w:r>
      <w:r w:rsidRPr="0085459B">
        <w:rPr>
          <w:rFonts w:ascii="Times New Roman" w:hAnsi="Times New Roman" w:cs="Times New Roman"/>
        </w:rPr>
        <w:t xml:space="preserve"> may limit the scalability of teaching practice dissemination and require the observer to be focused on the ‘how’ while engaging in the ‘what’. Further,</w:t>
      </w:r>
      <w:r>
        <w:rPr>
          <w:rFonts w:ascii="Times New Roman" w:hAnsi="Times New Roman" w:cs="Times New Roman"/>
        </w:rPr>
        <w:t xml:space="preserve"> a</w:t>
      </w:r>
      <w:r w:rsidRPr="0010753D">
        <w:rPr>
          <w:rFonts w:ascii="Times New Roman" w:hAnsi="Times New Roman" w:cs="Times New Roman"/>
          <w:color w:val="000000" w:themeColor="text1"/>
          <w:szCs w:val="20"/>
        </w:rPr>
        <w:t>dopt</w:t>
      </w:r>
      <w:r>
        <w:rPr>
          <w:rFonts w:ascii="Times New Roman" w:hAnsi="Times New Roman" w:cs="Times New Roman"/>
          <w:color w:val="000000" w:themeColor="text1"/>
          <w:szCs w:val="20"/>
        </w:rPr>
        <w:t>ing</w:t>
      </w:r>
      <w:r w:rsidRPr="0010753D">
        <w:rPr>
          <w:rFonts w:ascii="Times New Roman" w:hAnsi="Times New Roman" w:cs="Times New Roman"/>
          <w:color w:val="000000" w:themeColor="text1"/>
          <w:szCs w:val="20"/>
        </w:rPr>
        <w:t xml:space="preserve"> or adapt</w:t>
      </w:r>
      <w:r>
        <w:rPr>
          <w:rFonts w:ascii="Times New Roman" w:hAnsi="Times New Roman" w:cs="Times New Roman"/>
          <w:color w:val="000000" w:themeColor="text1"/>
          <w:szCs w:val="20"/>
        </w:rPr>
        <w:t>ing</w:t>
      </w:r>
      <w:r w:rsidRPr="0010753D">
        <w:rPr>
          <w:rFonts w:ascii="Times New Roman" w:hAnsi="Times New Roman" w:cs="Times New Roman"/>
          <w:color w:val="000000" w:themeColor="text1"/>
          <w:szCs w:val="20"/>
        </w:rPr>
        <w:t xml:space="preserve"> a new approach to teaching</w:t>
      </w:r>
      <w:r w:rsidRPr="0010753D">
        <w:rPr>
          <w:rFonts w:ascii="Times New Roman" w:hAnsi="Times New Roman" w:cs="Times New Roman"/>
          <w:szCs w:val="20"/>
        </w:rPr>
        <w:t xml:space="preserve"> requires a degree of risk-taking</w:t>
      </w:r>
      <w:r>
        <w:rPr>
          <w:rFonts w:ascii="Times New Roman" w:hAnsi="Times New Roman" w:cs="Times New Roman"/>
          <w:szCs w:val="20"/>
        </w:rPr>
        <w:t xml:space="preserve">, which has been </w:t>
      </w:r>
      <w:r w:rsidRPr="0010753D">
        <w:rPr>
          <w:rFonts w:ascii="Times New Roman" w:hAnsi="Times New Roman" w:cs="Times New Roman"/>
          <w:szCs w:val="20"/>
        </w:rPr>
        <w:t xml:space="preserve">noted to </w:t>
      </w:r>
      <w:r>
        <w:rPr>
          <w:rFonts w:ascii="Times New Roman" w:hAnsi="Times New Roman" w:cs="Times New Roman"/>
          <w:szCs w:val="20"/>
        </w:rPr>
        <w:t xml:space="preserve">adversely </w:t>
      </w:r>
      <w:r w:rsidRPr="0010753D">
        <w:rPr>
          <w:rFonts w:ascii="Times New Roman" w:hAnsi="Times New Roman" w:cs="Times New Roman"/>
          <w:szCs w:val="20"/>
        </w:rPr>
        <w:t xml:space="preserve">affect </w:t>
      </w:r>
      <w:r>
        <w:rPr>
          <w:rFonts w:ascii="Times New Roman" w:hAnsi="Times New Roman" w:cs="Times New Roman"/>
          <w:szCs w:val="20"/>
        </w:rPr>
        <w:t xml:space="preserve">ratings in </w:t>
      </w:r>
      <w:r w:rsidRPr="0010753D">
        <w:rPr>
          <w:rFonts w:ascii="Times New Roman" w:hAnsi="Times New Roman" w:cs="Times New Roman"/>
          <w:szCs w:val="20"/>
        </w:rPr>
        <w:t>Student Evaluations of Teaching (Byrne &amp; Richard, 2012; Darwin 2016)</w:t>
      </w:r>
      <w:r>
        <w:rPr>
          <w:rFonts w:ascii="Times New Roman" w:hAnsi="Times New Roman" w:cs="Times New Roman"/>
          <w:szCs w:val="20"/>
        </w:rPr>
        <w:t xml:space="preserve">. </w:t>
      </w:r>
    </w:p>
    <w:p w14:paraId="7BC9AC54" w14:textId="409D92EC" w:rsidR="0001683D" w:rsidRPr="00125C83" w:rsidRDefault="0001683D" w:rsidP="0001683D">
      <w:pPr>
        <w:spacing w:line="480" w:lineRule="auto"/>
        <w:ind w:firstLine="720"/>
      </w:pPr>
      <w:r>
        <w:rPr>
          <w:rFonts w:ascii="Times New Roman" w:hAnsi="Times New Roman" w:cs="Times New Roman"/>
          <w:szCs w:val="20"/>
        </w:rPr>
        <w:t xml:space="preserve">Broad influence occurs when something is demonstrated to be effective and then proven. </w:t>
      </w:r>
      <w:proofErr w:type="spellStart"/>
      <w:r w:rsidRPr="004F5C97">
        <w:rPr>
          <w:rFonts w:ascii="Times New Roman" w:hAnsi="Times New Roman" w:cs="Times New Roman"/>
        </w:rPr>
        <w:t>Southwell</w:t>
      </w:r>
      <w:proofErr w:type="spellEnd"/>
      <w:r w:rsidRPr="004F5C97">
        <w:rPr>
          <w:rFonts w:ascii="Times New Roman" w:hAnsi="Times New Roman" w:cs="Times New Roman"/>
        </w:rPr>
        <w:t xml:space="preserve"> et al. (2005, p17) explored the experience of dissemination of higher education teaching </w:t>
      </w:r>
      <w:r w:rsidR="008F7371" w:rsidRPr="004F5C97">
        <w:rPr>
          <w:rFonts w:ascii="Times New Roman" w:hAnsi="Times New Roman" w:cs="Times New Roman"/>
        </w:rPr>
        <w:t>practice and</w:t>
      </w:r>
      <w:r w:rsidRPr="004F5C97">
        <w:rPr>
          <w:rFonts w:ascii="Times New Roman" w:hAnsi="Times New Roman" w:cs="Times New Roman"/>
        </w:rPr>
        <w:t xml:space="preserve"> determine</w:t>
      </w:r>
      <w:r>
        <w:rPr>
          <w:rFonts w:ascii="Times New Roman" w:hAnsi="Times New Roman" w:cs="Times New Roman"/>
        </w:rPr>
        <w:t>d</w:t>
      </w:r>
      <w:r w:rsidRPr="004F5C97">
        <w:rPr>
          <w:rFonts w:ascii="Times New Roman" w:hAnsi="Times New Roman" w:cs="Times New Roman"/>
        </w:rPr>
        <w:t xml:space="preserve"> the process as </w:t>
      </w:r>
      <w:r>
        <w:rPr>
          <w:rFonts w:ascii="Times New Roman" w:hAnsi="Times New Roman" w:cs="Times New Roman"/>
        </w:rPr>
        <w:t xml:space="preserve">requiring </w:t>
      </w:r>
      <w:r w:rsidRPr="004F5C97">
        <w:rPr>
          <w:rFonts w:ascii="Times New Roman" w:hAnsi="Times New Roman" w:cs="Times New Roman"/>
        </w:rPr>
        <w:t>action “to embed and upscale”</w:t>
      </w:r>
      <w:r>
        <w:rPr>
          <w:rFonts w:ascii="Times New Roman" w:hAnsi="Times New Roman" w:cs="Times New Roman"/>
        </w:rPr>
        <w:t>:</w:t>
      </w:r>
      <w:r w:rsidRPr="004F5C97">
        <w:rPr>
          <w:rFonts w:ascii="Times New Roman" w:hAnsi="Times New Roman" w:cs="Times New Roman"/>
        </w:rPr>
        <w:t xml:space="preserve"> the practice must move from </w:t>
      </w:r>
      <w:r>
        <w:rPr>
          <w:rFonts w:ascii="Times New Roman" w:hAnsi="Times New Roman" w:cs="Times New Roman"/>
        </w:rPr>
        <w:t>its</w:t>
      </w:r>
      <w:r w:rsidRPr="004F5C97">
        <w:rPr>
          <w:rFonts w:ascii="Times New Roman" w:hAnsi="Times New Roman" w:cs="Times New Roman"/>
        </w:rPr>
        <w:t xml:space="preserve"> original context to be embedded in a new context. </w:t>
      </w:r>
      <w:r>
        <w:rPr>
          <w:rFonts w:ascii="Times New Roman" w:hAnsi="Times New Roman" w:cs="Times New Roman"/>
        </w:rPr>
        <w:t>Too often</w:t>
      </w:r>
      <w:r w:rsidRPr="004F5C97">
        <w:rPr>
          <w:rFonts w:ascii="Times New Roman" w:hAnsi="Times New Roman" w:cs="Times New Roman"/>
          <w:color w:val="000000" w:themeColor="text1"/>
        </w:rPr>
        <w:t xml:space="preserve">, the dissemination and adoption of teaching practice appears more incidental than </w:t>
      </w:r>
      <w:r w:rsidRPr="004F5C97">
        <w:rPr>
          <w:rFonts w:ascii="Times New Roman" w:hAnsi="Times New Roman" w:cs="Times New Roman"/>
          <w:color w:val="000000" w:themeColor="text1"/>
        </w:rPr>
        <w:lastRenderedPageBreak/>
        <w:t>planned</w:t>
      </w:r>
      <w:r w:rsidRPr="00D14B39">
        <w:rPr>
          <w:color w:val="000000" w:themeColor="text1"/>
        </w:rPr>
        <w:t>.</w:t>
      </w:r>
      <w:r>
        <w:rPr>
          <w:color w:val="000000" w:themeColor="text1"/>
        </w:rPr>
        <w:t xml:space="preserve"> </w:t>
      </w:r>
      <w:r w:rsidRPr="0091332E">
        <w:rPr>
          <w:rFonts w:ascii="Times New Roman" w:hAnsi="Times New Roman" w:cs="Times New Roman"/>
          <w:color w:val="000000" w:themeColor="text1"/>
        </w:rPr>
        <w:t xml:space="preserve">Rogers’ (2003) noted </w:t>
      </w:r>
      <w:r>
        <w:rPr>
          <w:rFonts w:ascii="Times New Roman" w:hAnsi="Times New Roman" w:cs="Times New Roman"/>
          <w:color w:val="000000" w:themeColor="text1"/>
        </w:rPr>
        <w:t xml:space="preserve">that </w:t>
      </w:r>
      <w:r w:rsidRPr="0091332E">
        <w:rPr>
          <w:rFonts w:ascii="Times New Roman" w:hAnsi="Times New Roman" w:cs="Times New Roman"/>
          <w:color w:val="000000" w:themeColor="text1"/>
        </w:rPr>
        <w:t xml:space="preserve">good ideas often fail to spread as quickly and broadly as expected. </w:t>
      </w:r>
      <w:r>
        <w:rPr>
          <w:rFonts w:ascii="Times New Roman" w:hAnsi="Times New Roman" w:cs="Times New Roman"/>
          <w:color w:val="000000" w:themeColor="text1"/>
        </w:rPr>
        <w:t>T</w:t>
      </w:r>
      <w:r w:rsidRPr="0091332E">
        <w:rPr>
          <w:rFonts w:ascii="Times New Roman" w:hAnsi="Times New Roman" w:cs="Times New Roman"/>
          <w:color w:val="000000" w:themeColor="text1"/>
        </w:rPr>
        <w:t>he r</w:t>
      </w:r>
      <w:r w:rsidRPr="0091332E">
        <w:rPr>
          <w:rFonts w:ascii="Times New Roman" w:hAnsi="Times New Roman" w:cs="Times New Roman"/>
        </w:rPr>
        <w:t>ate at which any innovation is adopted is often not as much related to impact evidence (</w:t>
      </w:r>
      <w:proofErr w:type="gramStart"/>
      <w:r w:rsidRPr="0091332E">
        <w:rPr>
          <w:rFonts w:ascii="Times New Roman" w:hAnsi="Times New Roman" w:cs="Times New Roman"/>
        </w:rPr>
        <w:t>e.g.</w:t>
      </w:r>
      <w:proofErr w:type="gramEnd"/>
      <w:r w:rsidRPr="0091332E">
        <w:rPr>
          <w:rFonts w:ascii="Times New Roman" w:hAnsi="Times New Roman" w:cs="Times New Roman"/>
        </w:rPr>
        <w:t xml:space="preserve"> the published papers recommended by Hinton, 2016) but more commonly to “diffusion … a social change, a process … involving interpersonal communication and relationships” (</w:t>
      </w:r>
      <w:proofErr w:type="spellStart"/>
      <w:r w:rsidRPr="0091332E">
        <w:rPr>
          <w:rFonts w:ascii="Times New Roman" w:hAnsi="Times New Roman" w:cs="Times New Roman"/>
        </w:rPr>
        <w:t>Genlott</w:t>
      </w:r>
      <w:proofErr w:type="spellEnd"/>
      <w:r w:rsidRPr="0091332E">
        <w:rPr>
          <w:rFonts w:ascii="Times New Roman" w:hAnsi="Times New Roman" w:cs="Times New Roman"/>
        </w:rPr>
        <w:t xml:space="preserve"> et al., 2021, para. 17). </w:t>
      </w:r>
      <w:r>
        <w:rPr>
          <w:rFonts w:ascii="Times New Roman" w:hAnsi="Times New Roman" w:cs="Times New Roman"/>
        </w:rPr>
        <w:t xml:space="preserve">Disseminating innovative practice through </w:t>
      </w:r>
      <w:r w:rsidRPr="0091332E">
        <w:rPr>
          <w:rFonts w:ascii="Times New Roman" w:hAnsi="Times New Roman" w:cs="Times New Roman"/>
        </w:rPr>
        <w:t xml:space="preserve">engagement </w:t>
      </w:r>
      <w:r>
        <w:rPr>
          <w:rFonts w:ascii="Times New Roman" w:hAnsi="Times New Roman" w:cs="Times New Roman"/>
        </w:rPr>
        <w:t>with colleagues—</w:t>
      </w:r>
      <w:r w:rsidRPr="0091332E">
        <w:rPr>
          <w:rFonts w:ascii="Times New Roman" w:hAnsi="Times New Roman" w:cs="Times New Roman"/>
        </w:rPr>
        <w:t xml:space="preserve">reflecting Cialdini’s (2007) </w:t>
      </w:r>
      <w:r w:rsidRPr="000971A7">
        <w:rPr>
          <w:rFonts w:ascii="Times New Roman" w:hAnsi="Times New Roman" w:cs="Times New Roman"/>
        </w:rPr>
        <w:t xml:space="preserve">principles of influence </w:t>
      </w:r>
      <w:r>
        <w:rPr>
          <w:rFonts w:ascii="Times New Roman" w:hAnsi="Times New Roman" w:cs="Times New Roman"/>
        </w:rPr>
        <w:t xml:space="preserve">around </w:t>
      </w:r>
      <w:r w:rsidRPr="0091332E">
        <w:rPr>
          <w:rFonts w:ascii="Times New Roman" w:hAnsi="Times New Roman" w:cs="Times New Roman"/>
        </w:rPr>
        <w:t>Authority, Liking and Reciprocity</w:t>
      </w:r>
      <w:r>
        <w:rPr>
          <w:rFonts w:ascii="Times New Roman" w:hAnsi="Times New Roman" w:cs="Times New Roman"/>
        </w:rPr>
        <w:t>—</w:t>
      </w:r>
      <w:r w:rsidRPr="0091332E">
        <w:rPr>
          <w:rFonts w:ascii="Times New Roman" w:hAnsi="Times New Roman" w:cs="Times New Roman"/>
        </w:rPr>
        <w:t>can be employed in a systematic manner</w:t>
      </w:r>
      <w:r>
        <w:rPr>
          <w:rFonts w:ascii="Times New Roman" w:hAnsi="Times New Roman" w:cs="Times New Roman"/>
        </w:rPr>
        <w:t>, with e</w:t>
      </w:r>
      <w:r w:rsidRPr="0091332E">
        <w:rPr>
          <w:rFonts w:ascii="Times New Roman" w:hAnsi="Times New Roman" w:cs="Times New Roman"/>
        </w:rPr>
        <w:t xml:space="preserve">ducators sharing innovative approaches </w:t>
      </w:r>
      <w:r>
        <w:rPr>
          <w:rFonts w:ascii="Times New Roman" w:hAnsi="Times New Roman" w:cs="Times New Roman"/>
        </w:rPr>
        <w:t xml:space="preserve">being </w:t>
      </w:r>
      <w:r w:rsidRPr="0091332E">
        <w:rPr>
          <w:rFonts w:ascii="Times New Roman" w:hAnsi="Times New Roman" w:cs="Times New Roman"/>
        </w:rPr>
        <w:t>seen as authorit</w:t>
      </w:r>
      <w:r>
        <w:rPr>
          <w:rFonts w:ascii="Times New Roman" w:hAnsi="Times New Roman" w:cs="Times New Roman"/>
        </w:rPr>
        <w:t xml:space="preserve">ative, </w:t>
      </w:r>
      <w:r w:rsidRPr="0091332E">
        <w:rPr>
          <w:rFonts w:ascii="Times New Roman" w:hAnsi="Times New Roman" w:cs="Times New Roman"/>
        </w:rPr>
        <w:t xml:space="preserve">friendly </w:t>
      </w:r>
      <w:r>
        <w:rPr>
          <w:rFonts w:ascii="Times New Roman" w:hAnsi="Times New Roman" w:cs="Times New Roman"/>
        </w:rPr>
        <w:t xml:space="preserve">and </w:t>
      </w:r>
      <w:r w:rsidRPr="0091332E">
        <w:rPr>
          <w:rFonts w:ascii="Times New Roman" w:hAnsi="Times New Roman" w:cs="Times New Roman"/>
        </w:rPr>
        <w:t>trusted source</w:t>
      </w:r>
      <w:r>
        <w:rPr>
          <w:rFonts w:ascii="Times New Roman" w:hAnsi="Times New Roman" w:cs="Times New Roman"/>
        </w:rPr>
        <w:t>s</w:t>
      </w:r>
      <w:r w:rsidRPr="0091332E">
        <w:rPr>
          <w:rFonts w:ascii="Times New Roman" w:hAnsi="Times New Roman" w:cs="Times New Roman"/>
        </w:rPr>
        <w:t xml:space="preserve">. </w:t>
      </w:r>
    </w:p>
    <w:p w14:paraId="02E50C47" w14:textId="77777777" w:rsidR="0001683D" w:rsidRDefault="0001683D" w:rsidP="0001683D">
      <w:pPr>
        <w:spacing w:line="480" w:lineRule="auto"/>
        <w:rPr>
          <w:rFonts w:ascii="Times New Roman" w:hAnsi="Times New Roman" w:cs="Times New Roman"/>
          <w:b/>
          <w:bCs/>
        </w:rPr>
      </w:pPr>
      <w:r w:rsidRPr="0085459B">
        <w:rPr>
          <w:rFonts w:ascii="Times New Roman" w:hAnsi="Times New Roman" w:cs="Times New Roman"/>
          <w:b/>
          <w:bCs/>
        </w:rPr>
        <w:t>Innovation born in the classroom</w:t>
      </w:r>
    </w:p>
    <w:p w14:paraId="2814B9B7" w14:textId="1BE01A96" w:rsidR="0001683D" w:rsidRPr="0085459B" w:rsidRDefault="0001683D" w:rsidP="0001683D">
      <w:pPr>
        <w:spacing w:line="480" w:lineRule="auto"/>
        <w:ind w:firstLine="720"/>
        <w:rPr>
          <w:rFonts w:ascii="Times New Roman" w:hAnsi="Times New Roman" w:cs="Times New Roman"/>
        </w:rPr>
      </w:pPr>
      <w:r w:rsidRPr="0085459B">
        <w:rPr>
          <w:rFonts w:ascii="Times New Roman" w:hAnsi="Times New Roman" w:cs="Times New Roman"/>
        </w:rPr>
        <w:t xml:space="preserve">Teaching practice evolves, with each delivery and iteration. Even with the best preparation, classroom delivery dynamics, constraints and student needs require educators to adapt their plans and actions in real time. As both teaching and learning activities occur in dynamic settings, innovation is not only possible but probable </w:t>
      </w:r>
      <w:r>
        <w:rPr>
          <w:rFonts w:ascii="Times New Roman" w:hAnsi="Times New Roman" w:cs="Times New Roman"/>
        </w:rPr>
        <w:t xml:space="preserve">in many </w:t>
      </w:r>
      <w:r w:rsidRPr="0085459B">
        <w:rPr>
          <w:rFonts w:ascii="Times New Roman" w:hAnsi="Times New Roman" w:cs="Times New Roman"/>
        </w:rPr>
        <w:t>interaction</w:t>
      </w:r>
      <w:r>
        <w:rPr>
          <w:rFonts w:ascii="Times New Roman" w:hAnsi="Times New Roman" w:cs="Times New Roman"/>
        </w:rPr>
        <w:t>s</w:t>
      </w:r>
      <w:r w:rsidRPr="0085459B">
        <w:rPr>
          <w:rFonts w:ascii="Times New Roman" w:hAnsi="Times New Roman" w:cs="Times New Roman"/>
        </w:rPr>
        <w:t xml:space="preserve">. However, getting other educators </w:t>
      </w:r>
      <w:r>
        <w:rPr>
          <w:rFonts w:ascii="Times New Roman" w:hAnsi="Times New Roman" w:cs="Times New Roman"/>
        </w:rPr>
        <w:t xml:space="preserve">to </w:t>
      </w:r>
      <w:r w:rsidRPr="0085459B">
        <w:rPr>
          <w:rFonts w:ascii="Times New Roman" w:hAnsi="Times New Roman" w:cs="Times New Roman"/>
        </w:rPr>
        <w:t xml:space="preserve">adopt </w:t>
      </w:r>
      <w:r>
        <w:rPr>
          <w:rFonts w:ascii="Times New Roman" w:hAnsi="Times New Roman" w:cs="Times New Roman"/>
        </w:rPr>
        <w:t>‘new’</w:t>
      </w:r>
      <w:r w:rsidRPr="0085459B">
        <w:rPr>
          <w:rFonts w:ascii="Times New Roman" w:hAnsi="Times New Roman" w:cs="Times New Roman"/>
        </w:rPr>
        <w:t xml:space="preserve"> practices, </w:t>
      </w:r>
      <w:r>
        <w:rPr>
          <w:rFonts w:ascii="Times New Roman" w:hAnsi="Times New Roman" w:cs="Times New Roman"/>
        </w:rPr>
        <w:t xml:space="preserve">or </w:t>
      </w:r>
      <w:r w:rsidRPr="0085459B">
        <w:rPr>
          <w:rFonts w:ascii="Times New Roman" w:hAnsi="Times New Roman" w:cs="Times New Roman"/>
        </w:rPr>
        <w:t xml:space="preserve">adapt them </w:t>
      </w:r>
      <w:r>
        <w:rPr>
          <w:rFonts w:ascii="Times New Roman" w:hAnsi="Times New Roman" w:cs="Times New Roman"/>
        </w:rPr>
        <w:t xml:space="preserve">for a </w:t>
      </w:r>
      <w:r w:rsidRPr="0085459B">
        <w:rPr>
          <w:rFonts w:ascii="Times New Roman" w:hAnsi="Times New Roman" w:cs="Times New Roman"/>
        </w:rPr>
        <w:t xml:space="preserve">new </w:t>
      </w:r>
      <w:r>
        <w:rPr>
          <w:rFonts w:ascii="Times New Roman" w:hAnsi="Times New Roman" w:cs="Times New Roman"/>
        </w:rPr>
        <w:t xml:space="preserve">context, </w:t>
      </w:r>
      <w:r w:rsidRPr="0085459B">
        <w:rPr>
          <w:rFonts w:ascii="Times New Roman" w:hAnsi="Times New Roman" w:cs="Times New Roman"/>
        </w:rPr>
        <w:t>requires the practices to be ‘exposed’ to our peers</w:t>
      </w:r>
      <w:r>
        <w:rPr>
          <w:rFonts w:ascii="Times New Roman" w:hAnsi="Times New Roman" w:cs="Times New Roman"/>
        </w:rPr>
        <w:t xml:space="preserve">, which often </w:t>
      </w:r>
      <w:r w:rsidRPr="0085459B">
        <w:rPr>
          <w:rFonts w:ascii="Times New Roman" w:hAnsi="Times New Roman" w:cs="Times New Roman"/>
        </w:rPr>
        <w:t xml:space="preserve">only happens </w:t>
      </w:r>
      <w:r>
        <w:rPr>
          <w:rFonts w:ascii="Times New Roman" w:hAnsi="Times New Roman" w:cs="Times New Roman"/>
        </w:rPr>
        <w:t xml:space="preserve">sporadically, for example </w:t>
      </w:r>
      <w:r w:rsidRPr="0085459B">
        <w:rPr>
          <w:rFonts w:ascii="Times New Roman" w:hAnsi="Times New Roman" w:cs="Times New Roman"/>
        </w:rPr>
        <w:t xml:space="preserve">in a peer review or a teaching showcase. </w:t>
      </w:r>
      <w:r>
        <w:rPr>
          <w:rFonts w:ascii="Times New Roman" w:hAnsi="Times New Roman" w:cs="Times New Roman"/>
        </w:rPr>
        <w:t>T</w:t>
      </w:r>
      <w:r w:rsidRPr="0085459B">
        <w:rPr>
          <w:rFonts w:ascii="Times New Roman" w:hAnsi="Times New Roman" w:cs="Times New Roman"/>
        </w:rPr>
        <w:t xml:space="preserve">he codification and impact of such changes </w:t>
      </w:r>
      <w:r>
        <w:rPr>
          <w:rFonts w:ascii="Times New Roman" w:hAnsi="Times New Roman" w:cs="Times New Roman"/>
        </w:rPr>
        <w:t xml:space="preserve">may be </w:t>
      </w:r>
      <w:r w:rsidRPr="0085459B">
        <w:rPr>
          <w:rFonts w:ascii="Times New Roman" w:hAnsi="Times New Roman" w:cs="Times New Roman"/>
        </w:rPr>
        <w:t xml:space="preserve">observed </w:t>
      </w:r>
      <w:r>
        <w:rPr>
          <w:rFonts w:ascii="Times New Roman" w:hAnsi="Times New Roman" w:cs="Times New Roman"/>
        </w:rPr>
        <w:t xml:space="preserve">by the innovative educator </w:t>
      </w:r>
      <w:r w:rsidRPr="0085459B">
        <w:rPr>
          <w:rFonts w:ascii="Times New Roman" w:hAnsi="Times New Roman" w:cs="Times New Roman"/>
        </w:rPr>
        <w:t xml:space="preserve">only through the practice of reflection or the use personal narrative as a sense making activity (Ford, 2021). Without dissemination, the practice stays isolated. </w:t>
      </w:r>
      <w:r w:rsidR="00013579">
        <w:rPr>
          <w:rFonts w:ascii="Times New Roman" w:hAnsi="Times New Roman" w:cs="Times New Roman"/>
        </w:rPr>
        <w:t>The</w:t>
      </w:r>
      <w:r w:rsidRPr="0085459B">
        <w:rPr>
          <w:rFonts w:ascii="Times New Roman" w:hAnsi="Times New Roman" w:cs="Times New Roman"/>
        </w:rPr>
        <w:t xml:space="preserve"> influence </w:t>
      </w:r>
      <w:r>
        <w:rPr>
          <w:rFonts w:ascii="Times New Roman" w:hAnsi="Times New Roman" w:cs="Times New Roman"/>
        </w:rPr>
        <w:t>may remain</w:t>
      </w:r>
      <w:r w:rsidRPr="0085459B">
        <w:rPr>
          <w:rFonts w:ascii="Times New Roman" w:hAnsi="Times New Roman" w:cs="Times New Roman"/>
        </w:rPr>
        <w:t xml:space="preserve"> limited to </w:t>
      </w:r>
      <w:r w:rsidR="00013579">
        <w:rPr>
          <w:rFonts w:ascii="Times New Roman" w:hAnsi="Times New Roman" w:cs="Times New Roman"/>
        </w:rPr>
        <w:t xml:space="preserve">specific </w:t>
      </w:r>
      <w:r w:rsidRPr="0085459B">
        <w:rPr>
          <w:rFonts w:ascii="Times New Roman" w:hAnsi="Times New Roman" w:cs="Times New Roman"/>
        </w:rPr>
        <w:t>students</w:t>
      </w:r>
      <w:r>
        <w:rPr>
          <w:rFonts w:ascii="Times New Roman" w:hAnsi="Times New Roman" w:cs="Times New Roman"/>
        </w:rPr>
        <w:t>,</w:t>
      </w:r>
      <w:r w:rsidRPr="0085459B">
        <w:rPr>
          <w:rFonts w:ascii="Times New Roman" w:hAnsi="Times New Roman" w:cs="Times New Roman"/>
        </w:rPr>
        <w:t xml:space="preserve"> unless </w:t>
      </w:r>
      <w:proofErr w:type="gramStart"/>
      <w:r>
        <w:rPr>
          <w:rFonts w:ascii="Times New Roman" w:hAnsi="Times New Roman" w:cs="Times New Roman"/>
        </w:rPr>
        <w:t>the</w:t>
      </w:r>
      <w:r w:rsidR="00013579">
        <w:rPr>
          <w:rFonts w:ascii="Times New Roman" w:hAnsi="Times New Roman" w:cs="Times New Roman"/>
        </w:rPr>
        <w:t xml:space="preserve">  students</w:t>
      </w:r>
      <w:proofErr w:type="gramEnd"/>
      <w:r w:rsidR="00013579">
        <w:rPr>
          <w:rFonts w:ascii="Times New Roman" w:hAnsi="Times New Roman" w:cs="Times New Roman"/>
        </w:rPr>
        <w:t xml:space="preserve"> </w:t>
      </w:r>
      <w:r>
        <w:rPr>
          <w:rFonts w:ascii="Times New Roman" w:hAnsi="Times New Roman" w:cs="Times New Roman"/>
        </w:rPr>
        <w:t>choose to</w:t>
      </w:r>
      <w:r w:rsidRPr="0085459B">
        <w:rPr>
          <w:rFonts w:ascii="Times New Roman" w:hAnsi="Times New Roman" w:cs="Times New Roman"/>
        </w:rPr>
        <w:t xml:space="preserve"> become the </w:t>
      </w:r>
      <w:r>
        <w:rPr>
          <w:rFonts w:ascii="Times New Roman" w:hAnsi="Times New Roman" w:cs="Times New Roman"/>
        </w:rPr>
        <w:t xml:space="preserve">very </w:t>
      </w:r>
      <w:r w:rsidRPr="0085459B">
        <w:rPr>
          <w:rFonts w:ascii="Times New Roman" w:hAnsi="Times New Roman" w:cs="Times New Roman"/>
        </w:rPr>
        <w:t>advocates who influence others to seek out our practices and in turn, change theirs.</w:t>
      </w:r>
      <w:r>
        <w:rPr>
          <w:rFonts w:ascii="Times New Roman" w:hAnsi="Times New Roman" w:cs="Times New Roman"/>
        </w:rPr>
        <w:t xml:space="preserve"> It is thus the responsibility of each </w:t>
      </w:r>
      <w:r w:rsidRPr="0085459B">
        <w:rPr>
          <w:rFonts w:ascii="Times New Roman" w:hAnsi="Times New Roman" w:cs="Times New Roman"/>
        </w:rPr>
        <w:t xml:space="preserve">educator to ensure their practices are </w:t>
      </w:r>
      <w:r>
        <w:rPr>
          <w:rFonts w:ascii="Times New Roman" w:hAnsi="Times New Roman" w:cs="Times New Roman"/>
        </w:rPr>
        <w:t xml:space="preserve">indeed </w:t>
      </w:r>
      <w:r w:rsidRPr="0085459B">
        <w:rPr>
          <w:rFonts w:ascii="Times New Roman" w:hAnsi="Times New Roman" w:cs="Times New Roman"/>
        </w:rPr>
        <w:t>shared outside the classroom</w:t>
      </w:r>
      <w:r>
        <w:rPr>
          <w:rFonts w:ascii="Times New Roman" w:hAnsi="Times New Roman" w:cs="Times New Roman"/>
        </w:rPr>
        <w:t xml:space="preserve">, to </w:t>
      </w:r>
      <w:r w:rsidRPr="0085459B">
        <w:rPr>
          <w:rFonts w:ascii="Times New Roman" w:hAnsi="Times New Roman" w:cs="Times New Roman"/>
        </w:rPr>
        <w:t xml:space="preserve">broaden our spheres of influence to our peers </w:t>
      </w:r>
      <w:r>
        <w:rPr>
          <w:rFonts w:ascii="Times New Roman" w:hAnsi="Times New Roman" w:cs="Times New Roman"/>
        </w:rPr>
        <w:t xml:space="preserve">so that they too </w:t>
      </w:r>
      <w:r w:rsidRPr="0085459B">
        <w:rPr>
          <w:rFonts w:ascii="Times New Roman" w:hAnsi="Times New Roman" w:cs="Times New Roman"/>
        </w:rPr>
        <w:t>might benefit from what we have learned</w:t>
      </w:r>
      <w:r>
        <w:rPr>
          <w:rFonts w:ascii="Times New Roman" w:hAnsi="Times New Roman" w:cs="Times New Roman"/>
        </w:rPr>
        <w:t xml:space="preserve"> to do</w:t>
      </w:r>
      <w:r w:rsidR="00013579">
        <w:rPr>
          <w:rFonts w:ascii="Times New Roman" w:hAnsi="Times New Roman" w:cs="Times New Roman"/>
        </w:rPr>
        <w:t xml:space="preserve">. </w:t>
      </w:r>
      <w:r>
        <w:rPr>
          <w:rFonts w:ascii="Times New Roman" w:hAnsi="Times New Roman" w:cs="Times New Roman"/>
        </w:rPr>
        <w:t xml:space="preserve"> </w:t>
      </w:r>
      <w:r w:rsidR="00013579">
        <w:rPr>
          <w:rFonts w:ascii="Times New Roman" w:hAnsi="Times New Roman" w:cs="Times New Roman"/>
        </w:rPr>
        <w:t>Also provide</w:t>
      </w:r>
      <w:r>
        <w:rPr>
          <w:rFonts w:ascii="Times New Roman" w:hAnsi="Times New Roman" w:cs="Times New Roman"/>
        </w:rPr>
        <w:t xml:space="preserve"> </w:t>
      </w:r>
      <w:r w:rsidRPr="0085459B">
        <w:rPr>
          <w:rFonts w:ascii="Times New Roman" w:hAnsi="Times New Roman" w:cs="Times New Roman"/>
        </w:rPr>
        <w:t xml:space="preserve">peer review </w:t>
      </w:r>
      <w:r w:rsidR="00013579">
        <w:rPr>
          <w:rFonts w:ascii="Times New Roman" w:hAnsi="Times New Roman" w:cs="Times New Roman"/>
        </w:rPr>
        <w:t xml:space="preserve">on </w:t>
      </w:r>
      <w:r w:rsidRPr="0085459B">
        <w:rPr>
          <w:rFonts w:ascii="Times New Roman" w:hAnsi="Times New Roman" w:cs="Times New Roman"/>
        </w:rPr>
        <w:t>our practices</w:t>
      </w:r>
      <w:r>
        <w:rPr>
          <w:rFonts w:ascii="Times New Roman" w:hAnsi="Times New Roman" w:cs="Times New Roman"/>
        </w:rPr>
        <w:t xml:space="preserve">. </w:t>
      </w:r>
      <w:r w:rsidRPr="0085459B">
        <w:rPr>
          <w:rFonts w:ascii="Times New Roman" w:hAnsi="Times New Roman" w:cs="Times New Roman"/>
        </w:rPr>
        <w:t xml:space="preserve"> </w:t>
      </w:r>
    </w:p>
    <w:p w14:paraId="3E25649E" w14:textId="77777777" w:rsidR="0001683D" w:rsidRPr="0085459B" w:rsidRDefault="0001683D" w:rsidP="0001683D">
      <w:pPr>
        <w:spacing w:line="480" w:lineRule="auto"/>
        <w:rPr>
          <w:rFonts w:ascii="Times New Roman" w:hAnsi="Times New Roman" w:cs="Times New Roman"/>
          <w:b/>
          <w:bCs/>
        </w:rPr>
      </w:pPr>
      <w:r w:rsidRPr="0085459B">
        <w:rPr>
          <w:rFonts w:ascii="Times New Roman" w:hAnsi="Times New Roman" w:cs="Times New Roman"/>
          <w:b/>
          <w:bCs/>
        </w:rPr>
        <w:t>Take it to the corridors</w:t>
      </w:r>
    </w:p>
    <w:p w14:paraId="3B91E8A6" w14:textId="77777777" w:rsidR="0001683D" w:rsidRPr="0085459B" w:rsidRDefault="0001683D" w:rsidP="0001683D">
      <w:pPr>
        <w:spacing w:line="480" w:lineRule="auto"/>
        <w:ind w:firstLine="720"/>
        <w:rPr>
          <w:rFonts w:ascii="Times New Roman" w:hAnsi="Times New Roman" w:cs="Times New Roman"/>
        </w:rPr>
      </w:pPr>
      <w:r w:rsidRPr="0085459B">
        <w:rPr>
          <w:rFonts w:ascii="Times New Roman" w:hAnsi="Times New Roman" w:cs="Times New Roman"/>
        </w:rPr>
        <w:lastRenderedPageBreak/>
        <w:t xml:space="preserve">The corridors (physical or virtual) are a great place for dialogic peer review through sharing what </w:t>
      </w:r>
      <w:r>
        <w:rPr>
          <w:rFonts w:ascii="Times New Roman" w:hAnsi="Times New Roman" w:cs="Times New Roman"/>
        </w:rPr>
        <w:t xml:space="preserve">has been done while </w:t>
      </w:r>
      <w:r w:rsidRPr="0085459B">
        <w:rPr>
          <w:rFonts w:ascii="Times New Roman" w:hAnsi="Times New Roman" w:cs="Times New Roman"/>
        </w:rPr>
        <w:t xml:space="preserve">inviting our peers and colleagues to </w:t>
      </w:r>
      <w:r>
        <w:rPr>
          <w:rFonts w:ascii="Times New Roman" w:hAnsi="Times New Roman" w:cs="Times New Roman"/>
        </w:rPr>
        <w:t xml:space="preserve">be openly sceptical and listen to our evidence as we </w:t>
      </w:r>
      <w:r w:rsidRPr="0085459B">
        <w:rPr>
          <w:rFonts w:ascii="Times New Roman" w:hAnsi="Times New Roman" w:cs="Times New Roman"/>
        </w:rPr>
        <w:t xml:space="preserve">discuss our practice. </w:t>
      </w:r>
      <w:r w:rsidRPr="0085459B">
        <w:rPr>
          <w:rFonts w:ascii="Times New Roman" w:hAnsi="Times New Roman" w:cs="Times New Roman"/>
          <w:color w:val="000000" w:themeColor="text1"/>
        </w:rPr>
        <w:t>Th</w:t>
      </w:r>
      <w:r>
        <w:rPr>
          <w:rFonts w:ascii="Times New Roman" w:hAnsi="Times New Roman" w:cs="Times New Roman"/>
          <w:color w:val="000000" w:themeColor="text1"/>
        </w:rPr>
        <w:t xml:space="preserve">is kind of sharing is akin to </w:t>
      </w:r>
      <w:r w:rsidRPr="0085459B">
        <w:rPr>
          <w:rFonts w:ascii="Times New Roman" w:hAnsi="Times New Roman" w:cs="Times New Roman"/>
          <w:color w:val="000000" w:themeColor="text1"/>
        </w:rPr>
        <w:t xml:space="preserve">‘corridor conversations’ (Long et al., 2007) </w:t>
      </w:r>
      <w:r>
        <w:rPr>
          <w:rFonts w:ascii="Times New Roman" w:hAnsi="Times New Roman" w:cs="Times New Roman"/>
          <w:color w:val="000000" w:themeColor="text1"/>
        </w:rPr>
        <w:t>and</w:t>
      </w:r>
      <w:r w:rsidRPr="0085459B">
        <w:rPr>
          <w:rFonts w:ascii="Times New Roman" w:hAnsi="Times New Roman" w:cs="Times New Roman"/>
          <w:color w:val="000000" w:themeColor="text1"/>
        </w:rPr>
        <w:t xml:space="preserve"> ‘watercooler learning’ (Waring &amp; Bishop, 2010)</w:t>
      </w:r>
      <w:r>
        <w:rPr>
          <w:rFonts w:ascii="Times New Roman" w:hAnsi="Times New Roman" w:cs="Times New Roman"/>
          <w:color w:val="000000" w:themeColor="text1"/>
        </w:rPr>
        <w:t xml:space="preserve">, </w:t>
      </w:r>
      <w:r w:rsidRPr="0085459B">
        <w:rPr>
          <w:rFonts w:ascii="Times New Roman" w:hAnsi="Times New Roman" w:cs="Times New Roman"/>
        </w:rPr>
        <w:t xml:space="preserve">informal, natural occurrences whereby teaching problems, discoveries and practices are shared. While </w:t>
      </w:r>
      <w:r>
        <w:rPr>
          <w:rFonts w:ascii="Times New Roman" w:hAnsi="Times New Roman" w:cs="Times New Roman"/>
        </w:rPr>
        <w:t>such</w:t>
      </w:r>
      <w:r w:rsidRPr="0085459B">
        <w:rPr>
          <w:rFonts w:ascii="Times New Roman" w:hAnsi="Times New Roman" w:cs="Times New Roman"/>
        </w:rPr>
        <w:t xml:space="preserve"> corridor discussions may have reduced over the past two years under lockdown conditions, there</w:t>
      </w:r>
      <w:r>
        <w:rPr>
          <w:rFonts w:ascii="Times New Roman" w:hAnsi="Times New Roman" w:cs="Times New Roman"/>
        </w:rPr>
        <w:t xml:space="preserve"> are</w:t>
      </w:r>
      <w:r w:rsidRPr="0085459B">
        <w:rPr>
          <w:rFonts w:ascii="Times New Roman" w:hAnsi="Times New Roman" w:cs="Times New Roman"/>
        </w:rPr>
        <w:t xml:space="preserve"> still ample opportunit</w:t>
      </w:r>
      <w:r>
        <w:rPr>
          <w:rFonts w:ascii="Times New Roman" w:hAnsi="Times New Roman" w:cs="Times New Roman"/>
        </w:rPr>
        <w:t>ies to engage in</w:t>
      </w:r>
      <w:r w:rsidRPr="0085459B">
        <w:rPr>
          <w:rFonts w:ascii="Times New Roman" w:hAnsi="Times New Roman" w:cs="Times New Roman"/>
        </w:rPr>
        <w:t xml:space="preserve"> this part of the dissemination strategy. </w:t>
      </w:r>
      <w:r>
        <w:rPr>
          <w:rFonts w:ascii="Times New Roman" w:hAnsi="Times New Roman" w:cs="Times New Roman"/>
        </w:rPr>
        <w:t>Any</w:t>
      </w:r>
      <w:r w:rsidRPr="0085459B">
        <w:rPr>
          <w:rFonts w:ascii="Times New Roman" w:hAnsi="Times New Roman" w:cs="Times New Roman"/>
        </w:rPr>
        <w:t xml:space="preserve"> debrief with a colleague about what </w:t>
      </w:r>
      <w:r>
        <w:rPr>
          <w:rFonts w:ascii="Times New Roman" w:hAnsi="Times New Roman" w:cs="Times New Roman"/>
        </w:rPr>
        <w:t xml:space="preserve">problem arose </w:t>
      </w:r>
      <w:r w:rsidRPr="0085459B">
        <w:rPr>
          <w:rFonts w:ascii="Times New Roman" w:hAnsi="Times New Roman" w:cs="Times New Roman"/>
        </w:rPr>
        <w:t xml:space="preserve">and what you did </w:t>
      </w:r>
      <w:r>
        <w:rPr>
          <w:rFonts w:ascii="Times New Roman" w:hAnsi="Times New Roman" w:cs="Times New Roman"/>
        </w:rPr>
        <w:t>to solve it</w:t>
      </w:r>
      <w:r w:rsidRPr="0085459B">
        <w:rPr>
          <w:rFonts w:ascii="Times New Roman" w:hAnsi="Times New Roman" w:cs="Times New Roman"/>
        </w:rPr>
        <w:t xml:space="preserve"> is a moment of influence not to be lost. </w:t>
      </w:r>
      <w:r>
        <w:rPr>
          <w:rFonts w:ascii="Times New Roman" w:hAnsi="Times New Roman" w:cs="Times New Roman"/>
        </w:rPr>
        <w:t xml:space="preserve">Despite busy workloads, as educators we must </w:t>
      </w:r>
      <w:r w:rsidRPr="0085459B">
        <w:rPr>
          <w:rFonts w:ascii="Times New Roman" w:hAnsi="Times New Roman" w:cs="Times New Roman"/>
        </w:rPr>
        <w:t>find the time and space to share our experiences</w:t>
      </w:r>
      <w:r>
        <w:rPr>
          <w:rFonts w:ascii="Times New Roman" w:hAnsi="Times New Roman" w:cs="Times New Roman"/>
        </w:rPr>
        <w:t>:</w:t>
      </w:r>
      <w:r w:rsidRPr="0085459B">
        <w:rPr>
          <w:rFonts w:ascii="Times New Roman" w:hAnsi="Times New Roman" w:cs="Times New Roman"/>
        </w:rPr>
        <w:t xml:space="preserve"> “when we open ourselves to others’ experiences, we in turn reflect on our own” (Ford, 2021:4). </w:t>
      </w:r>
      <w:r>
        <w:rPr>
          <w:rFonts w:ascii="Times New Roman" w:hAnsi="Times New Roman" w:cs="Times New Roman"/>
        </w:rPr>
        <w:t>O</w:t>
      </w:r>
      <w:r w:rsidRPr="0085459B">
        <w:rPr>
          <w:rFonts w:ascii="Times New Roman" w:hAnsi="Times New Roman" w:cs="Times New Roman"/>
        </w:rPr>
        <w:t xml:space="preserve">ur </w:t>
      </w:r>
      <w:r>
        <w:rPr>
          <w:rFonts w:ascii="Times New Roman" w:hAnsi="Times New Roman" w:cs="Times New Roman"/>
        </w:rPr>
        <w:t xml:space="preserve">own </w:t>
      </w:r>
      <w:r w:rsidRPr="0085459B">
        <w:rPr>
          <w:rFonts w:ascii="Times New Roman" w:hAnsi="Times New Roman" w:cs="Times New Roman"/>
        </w:rPr>
        <w:t xml:space="preserve">influence can be expanded by </w:t>
      </w:r>
      <w:r>
        <w:rPr>
          <w:rFonts w:ascii="Times New Roman" w:hAnsi="Times New Roman" w:cs="Times New Roman"/>
        </w:rPr>
        <w:t>two-way sharing—</w:t>
      </w:r>
      <w:r w:rsidRPr="0085459B">
        <w:rPr>
          <w:rFonts w:ascii="Times New Roman" w:hAnsi="Times New Roman" w:cs="Times New Roman"/>
        </w:rPr>
        <w:t xml:space="preserve">asking others what they have done. The sharing </w:t>
      </w:r>
      <w:r>
        <w:rPr>
          <w:rFonts w:ascii="Times New Roman" w:hAnsi="Times New Roman" w:cs="Times New Roman"/>
        </w:rPr>
        <w:t xml:space="preserve">of </w:t>
      </w:r>
      <w:r w:rsidRPr="0085459B">
        <w:rPr>
          <w:rFonts w:ascii="Times New Roman" w:hAnsi="Times New Roman" w:cs="Times New Roman"/>
        </w:rPr>
        <w:t xml:space="preserve">practices in the corridors </w:t>
      </w:r>
      <w:r>
        <w:rPr>
          <w:rFonts w:ascii="Times New Roman" w:hAnsi="Times New Roman" w:cs="Times New Roman"/>
        </w:rPr>
        <w:t xml:space="preserve">can then </w:t>
      </w:r>
      <w:r w:rsidRPr="0085459B">
        <w:rPr>
          <w:rFonts w:ascii="Times New Roman" w:hAnsi="Times New Roman" w:cs="Times New Roman"/>
        </w:rPr>
        <w:t>expand</w:t>
      </w:r>
      <w:r>
        <w:rPr>
          <w:rFonts w:ascii="Times New Roman" w:hAnsi="Times New Roman" w:cs="Times New Roman"/>
        </w:rPr>
        <w:t xml:space="preserve"> into</w:t>
      </w:r>
      <w:r w:rsidRPr="0085459B">
        <w:rPr>
          <w:rFonts w:ascii="Times New Roman" w:hAnsi="Times New Roman" w:cs="Times New Roman"/>
        </w:rPr>
        <w:t xml:space="preserve"> your next sphere of influence and impact. </w:t>
      </w:r>
    </w:p>
    <w:p w14:paraId="67970DAE" w14:textId="77777777" w:rsidR="0001683D" w:rsidRPr="0085459B" w:rsidRDefault="0001683D" w:rsidP="0001683D">
      <w:pPr>
        <w:spacing w:line="480" w:lineRule="auto"/>
        <w:rPr>
          <w:rFonts w:ascii="Times New Roman" w:hAnsi="Times New Roman" w:cs="Times New Roman"/>
          <w:b/>
          <w:bCs/>
        </w:rPr>
      </w:pPr>
      <w:r w:rsidRPr="0085459B">
        <w:rPr>
          <w:rFonts w:ascii="Times New Roman" w:hAnsi="Times New Roman" w:cs="Times New Roman"/>
          <w:b/>
          <w:bCs/>
        </w:rPr>
        <w:t>The Campus is calling</w:t>
      </w:r>
    </w:p>
    <w:p w14:paraId="28F4C333" w14:textId="6D071EE0" w:rsidR="0001683D" w:rsidRPr="0085459B" w:rsidRDefault="0001683D" w:rsidP="0001683D">
      <w:pPr>
        <w:spacing w:line="480" w:lineRule="auto"/>
        <w:ind w:firstLine="720"/>
        <w:rPr>
          <w:rFonts w:ascii="Times New Roman" w:hAnsi="Times New Roman" w:cs="Times New Roman"/>
        </w:rPr>
      </w:pPr>
      <w:r w:rsidRPr="0085459B">
        <w:rPr>
          <w:rFonts w:ascii="Times New Roman" w:hAnsi="Times New Roman" w:cs="Times New Roman"/>
        </w:rPr>
        <w:t xml:space="preserve">All too often the work of an academic is siloed. Our role as innovators is to ‘evangelise’ changes and possibilities. University education offices, teaching festivals, newsletters and showcases are all opportunities to influence and change teaching practices of others. Different, novel or uncovered practices can help others to develop their practices too. This creates </w:t>
      </w:r>
      <w:r>
        <w:rPr>
          <w:rFonts w:ascii="Times New Roman" w:hAnsi="Times New Roman" w:cs="Times New Roman"/>
        </w:rPr>
        <w:t>more</w:t>
      </w:r>
      <w:r w:rsidRPr="0085459B">
        <w:rPr>
          <w:rFonts w:ascii="Times New Roman" w:hAnsi="Times New Roman" w:cs="Times New Roman"/>
        </w:rPr>
        <w:t xml:space="preserve"> of </w:t>
      </w:r>
      <w:r>
        <w:rPr>
          <w:rFonts w:ascii="Times New Roman" w:hAnsi="Times New Roman" w:cs="Times New Roman"/>
        </w:rPr>
        <w:t xml:space="preserve">a </w:t>
      </w:r>
      <w:r w:rsidRPr="0085459B">
        <w:rPr>
          <w:rFonts w:ascii="Times New Roman" w:hAnsi="Times New Roman" w:cs="Times New Roman"/>
        </w:rPr>
        <w:t xml:space="preserve">learning organisation (Senge, 2006). </w:t>
      </w:r>
      <w:r>
        <w:rPr>
          <w:rFonts w:ascii="Times New Roman" w:hAnsi="Times New Roman" w:cs="Times New Roman"/>
        </w:rPr>
        <w:t>Sharing what you have done to improve learning or the student experience</w:t>
      </w:r>
      <w:r w:rsidRPr="0085459B">
        <w:rPr>
          <w:rFonts w:ascii="Times New Roman" w:hAnsi="Times New Roman" w:cs="Times New Roman"/>
        </w:rPr>
        <w:t xml:space="preserve">, and supporting others </w:t>
      </w:r>
      <w:r>
        <w:rPr>
          <w:rFonts w:ascii="Times New Roman" w:hAnsi="Times New Roman" w:cs="Times New Roman"/>
        </w:rPr>
        <w:t xml:space="preserve">who might want to take up, or adapt, that </w:t>
      </w:r>
      <w:r w:rsidRPr="0085459B">
        <w:rPr>
          <w:rFonts w:ascii="Times New Roman" w:hAnsi="Times New Roman" w:cs="Times New Roman"/>
        </w:rPr>
        <w:t>practice</w:t>
      </w:r>
      <w:r>
        <w:rPr>
          <w:rFonts w:ascii="Times New Roman" w:hAnsi="Times New Roman" w:cs="Times New Roman"/>
        </w:rPr>
        <w:t xml:space="preserve"> themselves,</w:t>
      </w:r>
      <w:r w:rsidRPr="0085459B">
        <w:rPr>
          <w:rFonts w:ascii="Times New Roman" w:hAnsi="Times New Roman" w:cs="Times New Roman"/>
        </w:rPr>
        <w:t xml:space="preserve"> </w:t>
      </w:r>
      <w:r>
        <w:rPr>
          <w:rFonts w:ascii="Times New Roman" w:hAnsi="Times New Roman" w:cs="Times New Roman"/>
        </w:rPr>
        <w:t xml:space="preserve">moves </w:t>
      </w:r>
      <w:r w:rsidRPr="0085459B">
        <w:rPr>
          <w:rFonts w:ascii="Times New Roman" w:hAnsi="Times New Roman" w:cs="Times New Roman"/>
        </w:rPr>
        <w:t xml:space="preserve">you </w:t>
      </w:r>
      <w:r>
        <w:rPr>
          <w:rFonts w:ascii="Times New Roman" w:hAnsi="Times New Roman" w:cs="Times New Roman"/>
        </w:rPr>
        <w:t>into the sphere of</w:t>
      </w:r>
      <w:r w:rsidRPr="0085459B">
        <w:rPr>
          <w:rFonts w:ascii="Times New Roman" w:hAnsi="Times New Roman" w:cs="Times New Roman"/>
        </w:rPr>
        <w:t xml:space="preserve"> leader</w:t>
      </w:r>
      <w:r>
        <w:rPr>
          <w:rFonts w:ascii="Times New Roman" w:hAnsi="Times New Roman" w:cs="Times New Roman"/>
        </w:rPr>
        <w:t>ship</w:t>
      </w:r>
      <w:r w:rsidRPr="0085459B">
        <w:rPr>
          <w:rFonts w:ascii="Times New Roman" w:hAnsi="Times New Roman" w:cs="Times New Roman"/>
        </w:rPr>
        <w:t xml:space="preserve"> and mentor</w:t>
      </w:r>
      <w:r>
        <w:rPr>
          <w:rFonts w:ascii="Times New Roman" w:hAnsi="Times New Roman" w:cs="Times New Roman"/>
        </w:rPr>
        <w:t>ship</w:t>
      </w:r>
      <w:r w:rsidRPr="0085459B">
        <w:rPr>
          <w:rFonts w:ascii="Times New Roman" w:hAnsi="Times New Roman" w:cs="Times New Roman"/>
        </w:rPr>
        <w:t>, developing others and your</w:t>
      </w:r>
      <w:r>
        <w:rPr>
          <w:rFonts w:ascii="Times New Roman" w:hAnsi="Times New Roman" w:cs="Times New Roman"/>
        </w:rPr>
        <w:t>self</w:t>
      </w:r>
      <w:r w:rsidRPr="0085459B">
        <w:rPr>
          <w:rFonts w:ascii="Times New Roman" w:hAnsi="Times New Roman" w:cs="Times New Roman"/>
        </w:rPr>
        <w:t xml:space="preserve">. </w:t>
      </w:r>
      <w:r w:rsidR="001921D9">
        <w:rPr>
          <w:rFonts w:ascii="Times New Roman" w:hAnsi="Times New Roman" w:cs="Times New Roman"/>
        </w:rPr>
        <w:t>Teaching festivals, showcases a</w:t>
      </w:r>
      <w:r w:rsidR="003E6536">
        <w:rPr>
          <w:rFonts w:ascii="Times New Roman" w:hAnsi="Times New Roman" w:cs="Times New Roman"/>
        </w:rPr>
        <w:t>long with</w:t>
      </w:r>
      <w:r w:rsidR="001921D9">
        <w:rPr>
          <w:rFonts w:ascii="Times New Roman" w:hAnsi="Times New Roman" w:cs="Times New Roman"/>
        </w:rPr>
        <w:t xml:space="preserve"> lunch and learn opportunities can be the start of a dissemination process which supports and encourages others to change their practice. More broadly, newsletters, discussion groups and communities of practice can also continue the ‘contagion effect’. </w:t>
      </w:r>
      <w:r w:rsidRPr="0085459B">
        <w:rPr>
          <w:rFonts w:ascii="Times New Roman" w:hAnsi="Times New Roman" w:cs="Times New Roman"/>
        </w:rPr>
        <w:t xml:space="preserve">As the sharing </w:t>
      </w:r>
      <w:r>
        <w:rPr>
          <w:rFonts w:ascii="Times New Roman" w:hAnsi="Times New Roman" w:cs="Times New Roman"/>
        </w:rPr>
        <w:t xml:space="preserve">of practice </w:t>
      </w:r>
      <w:r w:rsidRPr="0085459B">
        <w:rPr>
          <w:rFonts w:ascii="Times New Roman" w:hAnsi="Times New Roman" w:cs="Times New Roman"/>
        </w:rPr>
        <w:lastRenderedPageBreak/>
        <w:t>occurs</w:t>
      </w:r>
      <w:r>
        <w:rPr>
          <w:rFonts w:ascii="Times New Roman" w:hAnsi="Times New Roman" w:cs="Times New Roman"/>
        </w:rPr>
        <w:t xml:space="preserve"> across campus, into new disciplines and new teaching contexts</w:t>
      </w:r>
      <w:r w:rsidRPr="0085459B">
        <w:rPr>
          <w:rFonts w:ascii="Times New Roman" w:hAnsi="Times New Roman" w:cs="Times New Roman"/>
        </w:rPr>
        <w:t>, peer review contin</w:t>
      </w:r>
      <w:r>
        <w:rPr>
          <w:rFonts w:ascii="Times New Roman" w:hAnsi="Times New Roman" w:cs="Times New Roman"/>
        </w:rPr>
        <w:t>ues</w:t>
      </w:r>
      <w:r w:rsidRPr="0085459B">
        <w:rPr>
          <w:rFonts w:ascii="Times New Roman" w:hAnsi="Times New Roman" w:cs="Times New Roman"/>
        </w:rPr>
        <w:t xml:space="preserve">, </w:t>
      </w:r>
      <w:r>
        <w:rPr>
          <w:rFonts w:ascii="Times New Roman" w:hAnsi="Times New Roman" w:cs="Times New Roman"/>
        </w:rPr>
        <w:t xml:space="preserve">allowing a </w:t>
      </w:r>
      <w:r w:rsidRPr="0085459B">
        <w:rPr>
          <w:rFonts w:ascii="Times New Roman" w:hAnsi="Times New Roman" w:cs="Times New Roman"/>
        </w:rPr>
        <w:t>refining</w:t>
      </w:r>
      <w:r>
        <w:rPr>
          <w:rFonts w:ascii="Times New Roman" w:hAnsi="Times New Roman" w:cs="Times New Roman"/>
        </w:rPr>
        <w:t>,</w:t>
      </w:r>
      <w:r w:rsidRPr="0085459B">
        <w:rPr>
          <w:rFonts w:ascii="Times New Roman" w:hAnsi="Times New Roman" w:cs="Times New Roman"/>
        </w:rPr>
        <w:t xml:space="preserve"> </w:t>
      </w:r>
      <w:proofErr w:type="gramStart"/>
      <w:r w:rsidRPr="0085459B">
        <w:rPr>
          <w:rFonts w:ascii="Times New Roman" w:hAnsi="Times New Roman" w:cs="Times New Roman"/>
        </w:rPr>
        <w:t>adopt</w:t>
      </w:r>
      <w:r>
        <w:rPr>
          <w:rFonts w:ascii="Times New Roman" w:hAnsi="Times New Roman" w:cs="Times New Roman"/>
        </w:rPr>
        <w:t>ion</w:t>
      </w:r>
      <w:proofErr w:type="gramEnd"/>
      <w:r w:rsidRPr="0085459B">
        <w:rPr>
          <w:rFonts w:ascii="Times New Roman" w:hAnsi="Times New Roman" w:cs="Times New Roman"/>
        </w:rPr>
        <w:t xml:space="preserve"> and adapti</w:t>
      </w:r>
      <w:r>
        <w:rPr>
          <w:rFonts w:ascii="Times New Roman" w:hAnsi="Times New Roman" w:cs="Times New Roman"/>
        </w:rPr>
        <w:t>on</w:t>
      </w:r>
      <w:r w:rsidRPr="0085459B">
        <w:rPr>
          <w:rFonts w:ascii="Times New Roman" w:hAnsi="Times New Roman" w:cs="Times New Roman"/>
        </w:rPr>
        <w:t xml:space="preserve"> </w:t>
      </w:r>
      <w:r>
        <w:rPr>
          <w:rFonts w:ascii="Times New Roman" w:hAnsi="Times New Roman" w:cs="Times New Roman"/>
        </w:rPr>
        <w:t>of the original classroom innovation. I</w:t>
      </w:r>
      <w:r w:rsidRPr="0085459B">
        <w:rPr>
          <w:rFonts w:ascii="Times New Roman" w:hAnsi="Times New Roman" w:cs="Times New Roman"/>
        </w:rPr>
        <w:t>n the process</w:t>
      </w:r>
      <w:r w:rsidR="009D0FE1">
        <w:rPr>
          <w:rFonts w:ascii="Times New Roman" w:hAnsi="Times New Roman" w:cs="Times New Roman"/>
        </w:rPr>
        <w:t>,</w:t>
      </w:r>
      <w:r w:rsidRPr="0085459B">
        <w:rPr>
          <w:rFonts w:ascii="Times New Roman" w:hAnsi="Times New Roman" w:cs="Times New Roman"/>
        </w:rPr>
        <w:t xml:space="preserve"> your influence ripples </w:t>
      </w:r>
      <w:r>
        <w:rPr>
          <w:rFonts w:ascii="Times New Roman" w:hAnsi="Times New Roman" w:cs="Times New Roman"/>
        </w:rPr>
        <w:t xml:space="preserve">into </w:t>
      </w:r>
      <w:r w:rsidRPr="0085459B">
        <w:rPr>
          <w:rFonts w:ascii="Times New Roman" w:hAnsi="Times New Roman" w:cs="Times New Roman"/>
        </w:rPr>
        <w:t xml:space="preserve">the </w:t>
      </w:r>
      <w:r>
        <w:rPr>
          <w:rFonts w:ascii="Times New Roman" w:hAnsi="Times New Roman" w:cs="Times New Roman"/>
        </w:rPr>
        <w:t xml:space="preserve">broader </w:t>
      </w:r>
      <w:r w:rsidRPr="0085459B">
        <w:rPr>
          <w:rFonts w:ascii="Times New Roman" w:hAnsi="Times New Roman" w:cs="Times New Roman"/>
        </w:rPr>
        <w:t>community</w:t>
      </w:r>
      <w:r>
        <w:rPr>
          <w:rFonts w:ascii="Times New Roman" w:hAnsi="Times New Roman" w:cs="Times New Roman"/>
        </w:rPr>
        <w:t>, identifying new</w:t>
      </w:r>
      <w:r w:rsidRPr="0085459B">
        <w:rPr>
          <w:rFonts w:ascii="Times New Roman" w:hAnsi="Times New Roman" w:cs="Times New Roman"/>
        </w:rPr>
        <w:t xml:space="preserve"> launch points for your influence and impact.  </w:t>
      </w:r>
    </w:p>
    <w:p w14:paraId="50F14016" w14:textId="77777777" w:rsidR="0001683D" w:rsidRPr="0085459B" w:rsidRDefault="0001683D" w:rsidP="0001683D">
      <w:pPr>
        <w:spacing w:line="480" w:lineRule="auto"/>
        <w:rPr>
          <w:rFonts w:ascii="Times New Roman" w:hAnsi="Times New Roman" w:cs="Times New Roman"/>
          <w:b/>
          <w:bCs/>
        </w:rPr>
      </w:pPr>
      <w:r w:rsidRPr="0085459B">
        <w:rPr>
          <w:rFonts w:ascii="Times New Roman" w:hAnsi="Times New Roman" w:cs="Times New Roman"/>
          <w:b/>
          <w:bCs/>
        </w:rPr>
        <w:t>Communities – beyond our own nests</w:t>
      </w:r>
    </w:p>
    <w:p w14:paraId="52346D8C" w14:textId="4278B97B" w:rsidR="0001683D" w:rsidRPr="0085459B" w:rsidRDefault="0001683D" w:rsidP="0001683D">
      <w:pPr>
        <w:spacing w:line="480" w:lineRule="auto"/>
        <w:ind w:firstLine="720"/>
        <w:rPr>
          <w:rFonts w:ascii="Times New Roman" w:hAnsi="Times New Roman" w:cs="Times New Roman"/>
        </w:rPr>
      </w:pPr>
      <w:r w:rsidRPr="0085459B">
        <w:rPr>
          <w:rFonts w:ascii="Times New Roman" w:hAnsi="Times New Roman" w:cs="Times New Roman"/>
        </w:rPr>
        <w:t xml:space="preserve">Influencing </w:t>
      </w:r>
      <w:r>
        <w:rPr>
          <w:rFonts w:ascii="Times New Roman" w:hAnsi="Times New Roman" w:cs="Times New Roman"/>
        </w:rPr>
        <w:t>an</w:t>
      </w:r>
      <w:r w:rsidRPr="0085459B">
        <w:rPr>
          <w:rFonts w:ascii="Times New Roman" w:hAnsi="Times New Roman" w:cs="Times New Roman"/>
        </w:rPr>
        <w:t>other</w:t>
      </w:r>
      <w:r>
        <w:rPr>
          <w:rFonts w:ascii="Times New Roman" w:hAnsi="Times New Roman" w:cs="Times New Roman"/>
        </w:rPr>
        <w:t>’</w:t>
      </w:r>
      <w:r w:rsidRPr="0085459B">
        <w:rPr>
          <w:rFonts w:ascii="Times New Roman" w:hAnsi="Times New Roman" w:cs="Times New Roman"/>
        </w:rPr>
        <w:t>s practice is an honour and a responsibility for all educators.</w:t>
      </w:r>
      <w:r>
        <w:rPr>
          <w:rFonts w:ascii="Times New Roman" w:hAnsi="Times New Roman" w:cs="Times New Roman"/>
        </w:rPr>
        <w:t xml:space="preserve"> While t</w:t>
      </w:r>
      <w:r w:rsidRPr="0085459B">
        <w:rPr>
          <w:rFonts w:ascii="Times New Roman" w:hAnsi="Times New Roman" w:cs="Times New Roman"/>
        </w:rPr>
        <w:t xml:space="preserve">he more traditional form of dissemination through published papers </w:t>
      </w:r>
      <w:r>
        <w:rPr>
          <w:rFonts w:ascii="Times New Roman" w:hAnsi="Times New Roman" w:cs="Times New Roman"/>
        </w:rPr>
        <w:t>is</w:t>
      </w:r>
      <w:r w:rsidRPr="0085459B">
        <w:rPr>
          <w:rFonts w:ascii="Times New Roman" w:hAnsi="Times New Roman" w:cs="Times New Roman"/>
        </w:rPr>
        <w:t xml:space="preserve"> also available</w:t>
      </w:r>
      <w:r>
        <w:rPr>
          <w:rFonts w:ascii="Times New Roman" w:hAnsi="Times New Roman" w:cs="Times New Roman"/>
        </w:rPr>
        <w:t xml:space="preserve">, </w:t>
      </w:r>
      <w:r w:rsidRPr="0085459B">
        <w:rPr>
          <w:rFonts w:ascii="Times New Roman" w:hAnsi="Times New Roman" w:cs="Times New Roman"/>
        </w:rPr>
        <w:t>many education/</w:t>
      </w:r>
      <w:proofErr w:type="gramStart"/>
      <w:r w:rsidRPr="0085459B">
        <w:rPr>
          <w:rFonts w:ascii="Times New Roman" w:hAnsi="Times New Roman" w:cs="Times New Roman"/>
        </w:rPr>
        <w:t>teaching</w:t>
      </w:r>
      <w:proofErr w:type="gramEnd"/>
      <w:r w:rsidRPr="0085459B">
        <w:rPr>
          <w:rFonts w:ascii="Times New Roman" w:hAnsi="Times New Roman" w:cs="Times New Roman"/>
        </w:rPr>
        <w:t xml:space="preserve"> focused academics may lack </w:t>
      </w:r>
      <w:r>
        <w:rPr>
          <w:rFonts w:ascii="Times New Roman" w:hAnsi="Times New Roman" w:cs="Times New Roman"/>
        </w:rPr>
        <w:t xml:space="preserve">the </w:t>
      </w:r>
      <w:r w:rsidRPr="0085459B">
        <w:rPr>
          <w:rFonts w:ascii="Times New Roman" w:hAnsi="Times New Roman" w:cs="Times New Roman"/>
        </w:rPr>
        <w:t>efficacy to publish</w:t>
      </w:r>
      <w:r>
        <w:rPr>
          <w:rFonts w:ascii="Times New Roman" w:hAnsi="Times New Roman" w:cs="Times New Roman"/>
        </w:rPr>
        <w:t>,</w:t>
      </w:r>
      <w:r w:rsidRPr="0085459B">
        <w:rPr>
          <w:rFonts w:ascii="Times New Roman" w:hAnsi="Times New Roman" w:cs="Times New Roman"/>
        </w:rPr>
        <w:t xml:space="preserve"> or may struggle to publish papers that are not traditionally research</w:t>
      </w:r>
      <w:r>
        <w:rPr>
          <w:rFonts w:ascii="Times New Roman" w:hAnsi="Times New Roman" w:cs="Times New Roman"/>
        </w:rPr>
        <w:t>-</w:t>
      </w:r>
      <w:r w:rsidRPr="0085459B">
        <w:rPr>
          <w:rFonts w:ascii="Times New Roman" w:hAnsi="Times New Roman" w:cs="Times New Roman"/>
        </w:rPr>
        <w:t xml:space="preserve">based. </w:t>
      </w:r>
      <w:r>
        <w:rPr>
          <w:rFonts w:ascii="Times New Roman" w:hAnsi="Times New Roman" w:cs="Times New Roman"/>
        </w:rPr>
        <w:t>By contrast, a</w:t>
      </w:r>
      <w:r w:rsidRPr="0085459B">
        <w:rPr>
          <w:rFonts w:ascii="Times New Roman" w:hAnsi="Times New Roman" w:cs="Times New Roman"/>
        </w:rPr>
        <w:t>cademic teaching and learning conferences</w:t>
      </w:r>
      <w:r>
        <w:rPr>
          <w:rFonts w:ascii="Times New Roman" w:hAnsi="Times New Roman" w:cs="Times New Roman"/>
        </w:rPr>
        <w:t>, and other professional development opportunities,</w:t>
      </w:r>
      <w:r w:rsidRPr="0085459B">
        <w:rPr>
          <w:rFonts w:ascii="Times New Roman" w:hAnsi="Times New Roman" w:cs="Times New Roman"/>
        </w:rPr>
        <w:t xml:space="preserve"> are the perfect platform to look to influence your peers beyond your own walls. MOBTS conferences have created platforms </w:t>
      </w:r>
      <w:r>
        <w:rPr>
          <w:rFonts w:ascii="Times New Roman" w:hAnsi="Times New Roman" w:cs="Times New Roman"/>
        </w:rPr>
        <w:t xml:space="preserve">for management educators </w:t>
      </w:r>
      <w:r w:rsidRPr="0085459B">
        <w:rPr>
          <w:rFonts w:ascii="Times New Roman" w:hAnsi="Times New Roman" w:cs="Times New Roman"/>
        </w:rPr>
        <w:t xml:space="preserve">to share our teaching practices, to </w:t>
      </w:r>
      <w:r>
        <w:rPr>
          <w:rFonts w:ascii="Times New Roman" w:hAnsi="Times New Roman" w:cs="Times New Roman"/>
        </w:rPr>
        <w:t>receive</w:t>
      </w:r>
      <w:r w:rsidRPr="0085459B">
        <w:rPr>
          <w:rFonts w:ascii="Times New Roman" w:hAnsi="Times New Roman" w:cs="Times New Roman"/>
        </w:rPr>
        <w:t xml:space="preserve"> peer review, </w:t>
      </w:r>
      <w:r>
        <w:rPr>
          <w:rFonts w:ascii="Times New Roman" w:hAnsi="Times New Roman" w:cs="Times New Roman"/>
        </w:rPr>
        <w:t xml:space="preserve">and </w:t>
      </w:r>
      <w:r w:rsidRPr="0085459B">
        <w:rPr>
          <w:rFonts w:ascii="Times New Roman" w:hAnsi="Times New Roman" w:cs="Times New Roman"/>
        </w:rPr>
        <w:t xml:space="preserve">to influence others </w:t>
      </w:r>
      <w:r>
        <w:rPr>
          <w:rFonts w:ascii="Times New Roman" w:hAnsi="Times New Roman" w:cs="Times New Roman"/>
        </w:rPr>
        <w:t>while we are ourselves being</w:t>
      </w:r>
      <w:r w:rsidRPr="0085459B">
        <w:rPr>
          <w:rFonts w:ascii="Times New Roman" w:hAnsi="Times New Roman" w:cs="Times New Roman"/>
        </w:rPr>
        <w:t xml:space="preserve"> influenced. Beyond conference paper</w:t>
      </w:r>
      <w:r>
        <w:rPr>
          <w:rFonts w:ascii="Times New Roman" w:hAnsi="Times New Roman" w:cs="Times New Roman"/>
        </w:rPr>
        <w:t>s and</w:t>
      </w:r>
      <w:r w:rsidRPr="0085459B">
        <w:rPr>
          <w:rFonts w:ascii="Times New Roman" w:hAnsi="Times New Roman" w:cs="Times New Roman"/>
        </w:rPr>
        <w:t xml:space="preserve"> presentation</w:t>
      </w:r>
      <w:r>
        <w:rPr>
          <w:rFonts w:ascii="Times New Roman" w:hAnsi="Times New Roman" w:cs="Times New Roman"/>
        </w:rPr>
        <w:t>s</w:t>
      </w:r>
      <w:r w:rsidRPr="0085459B">
        <w:rPr>
          <w:rFonts w:ascii="Times New Roman" w:hAnsi="Times New Roman" w:cs="Times New Roman"/>
        </w:rPr>
        <w:t xml:space="preserve">, consider podcasts, YouTube and even </w:t>
      </w:r>
      <w:r>
        <w:rPr>
          <w:rFonts w:ascii="Times New Roman" w:hAnsi="Times New Roman" w:cs="Times New Roman"/>
        </w:rPr>
        <w:t xml:space="preserve">social media such as </w:t>
      </w:r>
      <w:r w:rsidRPr="0085459B">
        <w:rPr>
          <w:rFonts w:ascii="Times New Roman" w:hAnsi="Times New Roman" w:cs="Times New Roman"/>
        </w:rPr>
        <w:t>Ti</w:t>
      </w:r>
      <w:r>
        <w:rPr>
          <w:rFonts w:ascii="Times New Roman" w:hAnsi="Times New Roman" w:cs="Times New Roman"/>
        </w:rPr>
        <w:t>k</w:t>
      </w:r>
      <w:r w:rsidRPr="0085459B">
        <w:rPr>
          <w:rFonts w:ascii="Times New Roman" w:hAnsi="Times New Roman" w:cs="Times New Roman"/>
        </w:rPr>
        <w:t>Tok</w:t>
      </w:r>
      <w:r>
        <w:rPr>
          <w:rFonts w:ascii="Times New Roman" w:hAnsi="Times New Roman" w:cs="Times New Roman"/>
        </w:rPr>
        <w:t>—</w:t>
      </w:r>
      <w:r w:rsidRPr="0085459B">
        <w:rPr>
          <w:rFonts w:ascii="Times New Roman" w:hAnsi="Times New Roman" w:cs="Times New Roman"/>
        </w:rPr>
        <w:t xml:space="preserve">they all provide spaces for educators to disseminate their </w:t>
      </w:r>
      <w:r>
        <w:rPr>
          <w:rFonts w:ascii="Times New Roman" w:hAnsi="Times New Roman" w:cs="Times New Roman"/>
        </w:rPr>
        <w:t xml:space="preserve">ideas and solutions. </w:t>
      </w:r>
      <w:r w:rsidR="000F5B72">
        <w:rPr>
          <w:rFonts w:ascii="Times New Roman" w:hAnsi="Times New Roman" w:cs="Times New Roman"/>
        </w:rPr>
        <w:t>It is through the s</w:t>
      </w:r>
      <w:r w:rsidRPr="0085459B">
        <w:rPr>
          <w:rFonts w:ascii="Times New Roman" w:hAnsi="Times New Roman" w:cs="Times New Roman"/>
        </w:rPr>
        <w:t>har</w:t>
      </w:r>
      <w:r w:rsidR="000F5B72">
        <w:rPr>
          <w:rFonts w:ascii="Times New Roman" w:hAnsi="Times New Roman" w:cs="Times New Roman"/>
        </w:rPr>
        <w:t>ing of</w:t>
      </w:r>
      <w:r w:rsidRPr="0085459B">
        <w:rPr>
          <w:rFonts w:ascii="Times New Roman" w:hAnsi="Times New Roman" w:cs="Times New Roman"/>
        </w:rPr>
        <w:t xml:space="preserve"> teaching practices and innovations </w:t>
      </w:r>
      <w:r w:rsidR="000F5B72">
        <w:rPr>
          <w:rFonts w:ascii="Times New Roman" w:hAnsi="Times New Roman" w:cs="Times New Roman"/>
        </w:rPr>
        <w:t xml:space="preserve">that we </w:t>
      </w:r>
      <w:r w:rsidRPr="0085459B">
        <w:rPr>
          <w:rFonts w:ascii="Times New Roman" w:hAnsi="Times New Roman" w:cs="Times New Roman"/>
        </w:rPr>
        <w:t>will continue to make our learning spaces transformative.</w:t>
      </w:r>
    </w:p>
    <w:p w14:paraId="405B80BB" w14:textId="77777777" w:rsidR="0001683D" w:rsidRPr="0085459B" w:rsidRDefault="0001683D" w:rsidP="0001683D">
      <w:pPr>
        <w:spacing w:line="480" w:lineRule="auto"/>
        <w:rPr>
          <w:rFonts w:ascii="Times New Roman" w:hAnsi="Times New Roman" w:cs="Times New Roman"/>
          <w:b/>
          <w:bCs/>
        </w:rPr>
      </w:pPr>
      <w:r w:rsidRPr="0085459B">
        <w:rPr>
          <w:rFonts w:ascii="Times New Roman" w:hAnsi="Times New Roman" w:cs="Times New Roman"/>
          <w:b/>
          <w:bCs/>
        </w:rPr>
        <w:t>Conclusion</w:t>
      </w:r>
    </w:p>
    <w:p w14:paraId="11665CDB" w14:textId="6B9D5E0B" w:rsidR="001921D9" w:rsidRDefault="0001683D" w:rsidP="0001683D">
      <w:pPr>
        <w:spacing w:line="480" w:lineRule="auto"/>
        <w:ind w:firstLine="720"/>
        <w:rPr>
          <w:rFonts w:ascii="Times New Roman" w:hAnsi="Times New Roman" w:cs="Times New Roman"/>
        </w:rPr>
      </w:pPr>
      <w:r>
        <w:rPr>
          <w:rFonts w:ascii="Times New Roman" w:hAnsi="Times New Roman" w:cs="Times New Roman"/>
        </w:rPr>
        <w:t>This roundtable will help participants move from ‘</w:t>
      </w:r>
      <w:proofErr w:type="gramStart"/>
      <w:r>
        <w:rPr>
          <w:rFonts w:ascii="Times New Roman" w:hAnsi="Times New Roman" w:cs="Times New Roman"/>
        </w:rPr>
        <w:t>busy-ness’</w:t>
      </w:r>
      <w:proofErr w:type="gramEnd"/>
      <w:r>
        <w:rPr>
          <w:rFonts w:ascii="Times New Roman" w:hAnsi="Times New Roman" w:cs="Times New Roman"/>
        </w:rPr>
        <w:t xml:space="preserve"> to impact. The 4Cs approach gives e</w:t>
      </w:r>
      <w:r w:rsidRPr="0085459B">
        <w:rPr>
          <w:rFonts w:ascii="Times New Roman" w:hAnsi="Times New Roman" w:cs="Times New Roman"/>
        </w:rPr>
        <w:t xml:space="preserve">ducators a strategic </w:t>
      </w:r>
      <w:r w:rsidR="00A924F2">
        <w:rPr>
          <w:rFonts w:ascii="Times New Roman" w:hAnsi="Times New Roman" w:cs="Times New Roman"/>
        </w:rPr>
        <w:t xml:space="preserve">way of </w:t>
      </w:r>
      <w:r>
        <w:rPr>
          <w:rFonts w:ascii="Times New Roman" w:hAnsi="Times New Roman" w:cs="Times New Roman"/>
        </w:rPr>
        <w:t>tak</w:t>
      </w:r>
      <w:r w:rsidR="00A924F2">
        <w:rPr>
          <w:rFonts w:ascii="Times New Roman" w:hAnsi="Times New Roman" w:cs="Times New Roman"/>
        </w:rPr>
        <w:t>ing</w:t>
      </w:r>
      <w:r>
        <w:rPr>
          <w:rFonts w:ascii="Times New Roman" w:hAnsi="Times New Roman" w:cs="Times New Roman"/>
        </w:rPr>
        <w:t xml:space="preserve"> </w:t>
      </w:r>
      <w:r w:rsidRPr="0085459B">
        <w:rPr>
          <w:rFonts w:ascii="Times New Roman" w:hAnsi="Times New Roman" w:cs="Times New Roman"/>
        </w:rPr>
        <w:t>their influence beyond the classroom</w:t>
      </w:r>
      <w:r>
        <w:rPr>
          <w:rFonts w:ascii="Times New Roman" w:hAnsi="Times New Roman" w:cs="Times New Roman"/>
        </w:rPr>
        <w:t>. By enabling educators to consider who they influence, where, and when, t</w:t>
      </w:r>
      <w:r w:rsidRPr="0085459B">
        <w:rPr>
          <w:rFonts w:ascii="Times New Roman" w:hAnsi="Times New Roman" w:cs="Times New Roman"/>
        </w:rPr>
        <w:t xml:space="preserve">he 4Cs </w:t>
      </w:r>
      <w:r>
        <w:rPr>
          <w:rFonts w:ascii="Times New Roman" w:hAnsi="Times New Roman" w:cs="Times New Roman"/>
        </w:rPr>
        <w:t xml:space="preserve">enables individuals to </w:t>
      </w:r>
      <w:r w:rsidRPr="0085459B">
        <w:rPr>
          <w:rFonts w:ascii="Times New Roman" w:hAnsi="Times New Roman" w:cs="Times New Roman"/>
        </w:rPr>
        <w:t>disseminat</w:t>
      </w:r>
      <w:r>
        <w:rPr>
          <w:rFonts w:ascii="Times New Roman" w:hAnsi="Times New Roman" w:cs="Times New Roman"/>
        </w:rPr>
        <w:t>e their</w:t>
      </w:r>
      <w:r w:rsidRPr="0085459B">
        <w:rPr>
          <w:rFonts w:ascii="Times New Roman" w:hAnsi="Times New Roman" w:cs="Times New Roman"/>
        </w:rPr>
        <w:t xml:space="preserve"> innovat</w:t>
      </w:r>
      <w:r>
        <w:rPr>
          <w:rFonts w:ascii="Times New Roman" w:hAnsi="Times New Roman" w:cs="Times New Roman"/>
        </w:rPr>
        <w:t>ive</w:t>
      </w:r>
      <w:r w:rsidRPr="0085459B">
        <w:rPr>
          <w:rFonts w:ascii="Times New Roman" w:hAnsi="Times New Roman" w:cs="Times New Roman"/>
        </w:rPr>
        <w:t xml:space="preserve"> teaching practice</w:t>
      </w:r>
      <w:r>
        <w:rPr>
          <w:rFonts w:ascii="Times New Roman" w:hAnsi="Times New Roman" w:cs="Times New Roman"/>
        </w:rPr>
        <w:t>s</w:t>
      </w:r>
      <w:r w:rsidRPr="0085459B">
        <w:rPr>
          <w:rFonts w:ascii="Times New Roman" w:hAnsi="Times New Roman" w:cs="Times New Roman"/>
        </w:rPr>
        <w:t xml:space="preserve"> with the specific intent to influence others</w:t>
      </w:r>
      <w:r>
        <w:rPr>
          <w:rFonts w:ascii="Times New Roman" w:hAnsi="Times New Roman" w:cs="Times New Roman"/>
        </w:rPr>
        <w:t xml:space="preserve"> through a personalised approach to showing impact</w:t>
      </w:r>
      <w:r w:rsidRPr="0085459B">
        <w:rPr>
          <w:rFonts w:ascii="Times New Roman" w:hAnsi="Times New Roman" w:cs="Times New Roman"/>
        </w:rPr>
        <w:t>.</w:t>
      </w:r>
    </w:p>
    <w:p w14:paraId="311D19ED" w14:textId="77777777" w:rsidR="001921D9" w:rsidRDefault="001921D9">
      <w:pPr>
        <w:rPr>
          <w:rFonts w:ascii="Times New Roman" w:hAnsi="Times New Roman" w:cs="Times New Roman"/>
        </w:rPr>
      </w:pPr>
      <w:r>
        <w:rPr>
          <w:rFonts w:ascii="Times New Roman" w:hAnsi="Times New Roman" w:cs="Times New Roman"/>
        </w:rPr>
        <w:br w:type="page"/>
      </w:r>
    </w:p>
    <w:p w14:paraId="2207905F" w14:textId="77777777" w:rsidR="0001683D" w:rsidRPr="0085459B" w:rsidRDefault="0001683D" w:rsidP="0001683D">
      <w:pPr>
        <w:spacing w:line="480" w:lineRule="auto"/>
        <w:ind w:firstLine="720"/>
        <w:rPr>
          <w:rFonts w:ascii="Times New Roman" w:hAnsi="Times New Roman" w:cs="Times New Roman"/>
        </w:rPr>
      </w:pPr>
    </w:p>
    <w:p w14:paraId="1F04E5A6" w14:textId="77777777" w:rsidR="0001683D" w:rsidRPr="00A922CD" w:rsidRDefault="0001683D" w:rsidP="0001683D">
      <w:pPr>
        <w:shd w:val="clear" w:color="auto" w:fill="FFFFFF"/>
        <w:spacing w:before="100" w:beforeAutospacing="1" w:after="100" w:afterAutospacing="1"/>
        <w:rPr>
          <w:rFonts w:ascii="Roboto" w:eastAsia="Times New Roman" w:hAnsi="Roboto" w:cs="Times New Roman"/>
          <w:b/>
          <w:bCs/>
          <w:color w:val="3C4858"/>
          <w:sz w:val="21"/>
          <w:szCs w:val="21"/>
          <w:lang w:eastAsia="en-GB"/>
        </w:rPr>
      </w:pPr>
      <w:r w:rsidRPr="008F2086">
        <w:rPr>
          <w:rFonts w:ascii="Times New Roman" w:eastAsia="Times New Roman" w:hAnsi="Times New Roman" w:cs="Times New Roman"/>
          <w:b/>
          <w:bCs/>
          <w:color w:val="3C4858"/>
          <w:lang w:eastAsia="en-GB"/>
        </w:rPr>
        <w:t>Session Description</w:t>
      </w:r>
    </w:p>
    <w:p w14:paraId="19EACB9A" w14:textId="2C706925" w:rsidR="0001683D" w:rsidRPr="0085459B" w:rsidRDefault="0001683D" w:rsidP="0001683D">
      <w:pPr>
        <w:spacing w:line="480" w:lineRule="auto"/>
        <w:ind w:firstLine="720"/>
        <w:rPr>
          <w:rFonts w:ascii="Times New Roman" w:hAnsi="Times New Roman" w:cs="Times New Roman"/>
        </w:rPr>
      </w:pPr>
      <w:r w:rsidRPr="0085459B">
        <w:rPr>
          <w:rFonts w:ascii="Times New Roman" w:hAnsi="Times New Roman" w:cs="Times New Roman"/>
        </w:rPr>
        <w:t xml:space="preserve">This </w:t>
      </w:r>
      <w:r>
        <w:rPr>
          <w:rFonts w:ascii="Times New Roman" w:hAnsi="Times New Roman" w:cs="Times New Roman"/>
        </w:rPr>
        <w:t>roundtable</w:t>
      </w:r>
      <w:r w:rsidRPr="0085459B">
        <w:rPr>
          <w:rFonts w:ascii="Times New Roman" w:hAnsi="Times New Roman" w:cs="Times New Roman"/>
        </w:rPr>
        <w:t xml:space="preserve"> </w:t>
      </w:r>
      <w:r>
        <w:rPr>
          <w:rFonts w:ascii="Times New Roman" w:hAnsi="Times New Roman" w:cs="Times New Roman"/>
        </w:rPr>
        <w:t xml:space="preserve">discussion </w:t>
      </w:r>
      <w:r w:rsidRPr="0085459B">
        <w:rPr>
          <w:rFonts w:ascii="Times New Roman" w:hAnsi="Times New Roman" w:cs="Times New Roman"/>
        </w:rPr>
        <w:t xml:space="preserve">will introduce the 4Cs </w:t>
      </w:r>
      <w:r>
        <w:rPr>
          <w:rFonts w:ascii="Times New Roman" w:hAnsi="Times New Roman" w:cs="Times New Roman"/>
        </w:rPr>
        <w:t>D</w:t>
      </w:r>
      <w:r w:rsidRPr="0085459B">
        <w:rPr>
          <w:rFonts w:ascii="Times New Roman" w:hAnsi="Times New Roman" w:cs="Times New Roman"/>
        </w:rPr>
        <w:t>issemination</w:t>
      </w:r>
      <w:r>
        <w:rPr>
          <w:rFonts w:ascii="Times New Roman" w:hAnsi="Times New Roman" w:cs="Times New Roman"/>
        </w:rPr>
        <w:t xml:space="preserve"> Strategy and facilitate opportunities for p</w:t>
      </w:r>
      <w:r w:rsidRPr="0085459B">
        <w:rPr>
          <w:rFonts w:ascii="Times New Roman" w:hAnsi="Times New Roman" w:cs="Times New Roman"/>
        </w:rPr>
        <w:t xml:space="preserve">articipants </w:t>
      </w:r>
      <w:r>
        <w:rPr>
          <w:rFonts w:ascii="Times New Roman" w:hAnsi="Times New Roman" w:cs="Times New Roman"/>
        </w:rPr>
        <w:t>to</w:t>
      </w:r>
      <w:r w:rsidRPr="0085459B">
        <w:rPr>
          <w:rFonts w:ascii="Times New Roman" w:hAnsi="Times New Roman" w:cs="Times New Roman"/>
        </w:rPr>
        <w:t xml:space="preserve"> explore a </w:t>
      </w:r>
      <w:r>
        <w:rPr>
          <w:rFonts w:ascii="Times New Roman" w:hAnsi="Times New Roman" w:cs="Times New Roman"/>
        </w:rPr>
        <w:t xml:space="preserve">personalised way of using this </w:t>
      </w:r>
      <w:r w:rsidRPr="0085459B">
        <w:rPr>
          <w:rFonts w:ascii="Times New Roman" w:hAnsi="Times New Roman" w:cs="Times New Roman"/>
        </w:rPr>
        <w:t>strategic and sustainable approach to increase their influence</w:t>
      </w:r>
      <w:r>
        <w:rPr>
          <w:rFonts w:ascii="Times New Roman" w:hAnsi="Times New Roman" w:cs="Times New Roman"/>
        </w:rPr>
        <w:t xml:space="preserve"> and</w:t>
      </w:r>
      <w:r w:rsidRPr="0085459B">
        <w:rPr>
          <w:rFonts w:ascii="Times New Roman" w:hAnsi="Times New Roman" w:cs="Times New Roman"/>
        </w:rPr>
        <w:t xml:space="preserve"> impact</w:t>
      </w:r>
      <w:r>
        <w:rPr>
          <w:rFonts w:ascii="Times New Roman" w:hAnsi="Times New Roman" w:cs="Times New Roman"/>
        </w:rPr>
        <w:t xml:space="preserve"> through measurable outcomes that focus on the business of impact and are suited to professional recognition and esteem (</w:t>
      </w:r>
      <w:proofErr w:type="gramStart"/>
      <w:r>
        <w:rPr>
          <w:rFonts w:ascii="Times New Roman" w:hAnsi="Times New Roman" w:cs="Times New Roman"/>
        </w:rPr>
        <w:t>e.g.</w:t>
      </w:r>
      <w:proofErr w:type="gramEnd"/>
      <w:r>
        <w:rPr>
          <w:rFonts w:ascii="Times New Roman" w:hAnsi="Times New Roman" w:cs="Times New Roman"/>
        </w:rPr>
        <w:t xml:space="preserve"> teaching awards, promotion applications</w:t>
      </w:r>
      <w:r w:rsidR="000F5B72">
        <w:rPr>
          <w:rFonts w:ascii="Times New Roman" w:hAnsi="Times New Roman" w:cs="Times New Roman"/>
        </w:rPr>
        <w:t>)</w:t>
      </w:r>
      <w:r w:rsidRPr="0085459B">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252"/>
        <w:gridCol w:w="2252"/>
        <w:gridCol w:w="2253"/>
        <w:gridCol w:w="2253"/>
      </w:tblGrid>
      <w:tr w:rsidR="0001683D" w:rsidRPr="0085459B" w14:paraId="0883AA99" w14:textId="77777777" w:rsidTr="0091332E">
        <w:tc>
          <w:tcPr>
            <w:tcW w:w="2252" w:type="dxa"/>
          </w:tcPr>
          <w:p w14:paraId="5F91928F"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What</w:t>
            </w:r>
          </w:p>
        </w:tc>
        <w:tc>
          <w:tcPr>
            <w:tcW w:w="2252" w:type="dxa"/>
          </w:tcPr>
          <w:p w14:paraId="6EB059F4"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Who</w:t>
            </w:r>
          </w:p>
        </w:tc>
        <w:tc>
          <w:tcPr>
            <w:tcW w:w="2253" w:type="dxa"/>
          </w:tcPr>
          <w:p w14:paraId="7E77D5F4"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Activity</w:t>
            </w:r>
          </w:p>
        </w:tc>
        <w:tc>
          <w:tcPr>
            <w:tcW w:w="2253" w:type="dxa"/>
          </w:tcPr>
          <w:p w14:paraId="5657FCA2"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Time</w:t>
            </w:r>
          </w:p>
        </w:tc>
      </w:tr>
      <w:tr w:rsidR="0001683D" w:rsidRPr="0085459B" w14:paraId="58337F7D" w14:textId="77777777" w:rsidTr="0091332E">
        <w:tc>
          <w:tcPr>
            <w:tcW w:w="2252" w:type="dxa"/>
          </w:tcPr>
          <w:p w14:paraId="3E345798"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Welcome</w:t>
            </w:r>
            <w:r>
              <w:rPr>
                <w:rFonts w:ascii="Times New Roman" w:hAnsi="Times New Roman" w:cs="Times New Roman"/>
              </w:rPr>
              <w:t xml:space="preserve">; introduce 4Cs </w:t>
            </w:r>
            <w:r w:rsidRPr="0085459B">
              <w:rPr>
                <w:rFonts w:ascii="Times New Roman" w:hAnsi="Times New Roman" w:cs="Times New Roman"/>
              </w:rPr>
              <w:t xml:space="preserve">model </w:t>
            </w:r>
          </w:p>
        </w:tc>
        <w:tc>
          <w:tcPr>
            <w:tcW w:w="2252" w:type="dxa"/>
          </w:tcPr>
          <w:p w14:paraId="79113BE8"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Facilitator</w:t>
            </w:r>
            <w:r>
              <w:rPr>
                <w:rFonts w:ascii="Times New Roman" w:hAnsi="Times New Roman" w:cs="Times New Roman"/>
              </w:rPr>
              <w:t>-</w:t>
            </w:r>
            <w:r w:rsidRPr="0085459B">
              <w:rPr>
                <w:rFonts w:ascii="Times New Roman" w:hAnsi="Times New Roman" w:cs="Times New Roman"/>
              </w:rPr>
              <w:t>led</w:t>
            </w:r>
          </w:p>
        </w:tc>
        <w:tc>
          <w:tcPr>
            <w:tcW w:w="2253" w:type="dxa"/>
          </w:tcPr>
          <w:p w14:paraId="25341D62"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 xml:space="preserve">Presentation </w:t>
            </w:r>
          </w:p>
        </w:tc>
        <w:tc>
          <w:tcPr>
            <w:tcW w:w="2253" w:type="dxa"/>
          </w:tcPr>
          <w:p w14:paraId="5B57F3DE"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10 mins</w:t>
            </w:r>
          </w:p>
        </w:tc>
      </w:tr>
      <w:tr w:rsidR="0001683D" w:rsidRPr="0085459B" w14:paraId="1E0B6644" w14:textId="77777777" w:rsidTr="0091332E">
        <w:tc>
          <w:tcPr>
            <w:tcW w:w="2252" w:type="dxa"/>
          </w:tcPr>
          <w:p w14:paraId="4AAEB135" w14:textId="0F2DB8B9" w:rsidR="0001683D" w:rsidRPr="0085459B" w:rsidRDefault="0001683D" w:rsidP="0091332E">
            <w:pPr>
              <w:spacing w:line="480" w:lineRule="auto"/>
              <w:rPr>
                <w:rFonts w:ascii="Times New Roman" w:hAnsi="Times New Roman" w:cs="Times New Roman"/>
              </w:rPr>
            </w:pPr>
            <w:r>
              <w:rPr>
                <w:rFonts w:ascii="Times New Roman" w:hAnsi="Times New Roman" w:cs="Times New Roman"/>
              </w:rPr>
              <w:t>B</w:t>
            </w:r>
            <w:r w:rsidRPr="0085459B">
              <w:rPr>
                <w:rFonts w:ascii="Times New Roman" w:hAnsi="Times New Roman" w:cs="Times New Roman"/>
              </w:rPr>
              <w:t xml:space="preserve">arriers and enablers to </w:t>
            </w:r>
            <w:r w:rsidR="001921D9">
              <w:rPr>
                <w:rFonts w:ascii="Times New Roman" w:hAnsi="Times New Roman" w:cs="Times New Roman"/>
              </w:rPr>
              <w:t>dissemin</w:t>
            </w:r>
            <w:r w:rsidR="00530A48">
              <w:rPr>
                <w:rFonts w:ascii="Times New Roman" w:hAnsi="Times New Roman" w:cs="Times New Roman"/>
              </w:rPr>
              <w:t>at</w:t>
            </w:r>
            <w:r w:rsidR="001921D9">
              <w:rPr>
                <w:rFonts w:ascii="Times New Roman" w:hAnsi="Times New Roman" w:cs="Times New Roman"/>
              </w:rPr>
              <w:t>ion</w:t>
            </w:r>
            <w:r w:rsidR="00D02AB6">
              <w:rPr>
                <w:rFonts w:ascii="Times New Roman" w:hAnsi="Times New Roman" w:cs="Times New Roman"/>
              </w:rPr>
              <w:t xml:space="preserve">- </w:t>
            </w:r>
            <w:proofErr w:type="spellStart"/>
            <w:r w:rsidR="00D02AB6">
              <w:rPr>
                <w:rFonts w:ascii="Times New Roman" w:hAnsi="Times New Roman" w:cs="Times New Roman"/>
              </w:rPr>
              <w:t>strategising</w:t>
            </w:r>
            <w:proofErr w:type="spellEnd"/>
            <w:r w:rsidR="00D02AB6">
              <w:rPr>
                <w:rFonts w:ascii="Times New Roman" w:hAnsi="Times New Roman" w:cs="Times New Roman"/>
              </w:rPr>
              <w:t xml:space="preserve"> your disseminations</w:t>
            </w:r>
          </w:p>
        </w:tc>
        <w:tc>
          <w:tcPr>
            <w:tcW w:w="2252" w:type="dxa"/>
          </w:tcPr>
          <w:p w14:paraId="2AD10D15" w14:textId="77777777" w:rsidR="0001683D" w:rsidRPr="0085459B" w:rsidRDefault="0001683D" w:rsidP="0091332E">
            <w:pPr>
              <w:spacing w:line="480" w:lineRule="auto"/>
              <w:rPr>
                <w:rFonts w:ascii="Times New Roman" w:hAnsi="Times New Roman" w:cs="Times New Roman"/>
              </w:rPr>
            </w:pPr>
            <w:r>
              <w:rPr>
                <w:rFonts w:ascii="Times New Roman" w:hAnsi="Times New Roman" w:cs="Times New Roman"/>
              </w:rPr>
              <w:t>Whole-g</w:t>
            </w:r>
            <w:r w:rsidRPr="0085459B">
              <w:rPr>
                <w:rFonts w:ascii="Times New Roman" w:hAnsi="Times New Roman" w:cs="Times New Roman"/>
              </w:rPr>
              <w:t xml:space="preserve">roup discussion </w:t>
            </w:r>
          </w:p>
        </w:tc>
        <w:tc>
          <w:tcPr>
            <w:tcW w:w="2253" w:type="dxa"/>
          </w:tcPr>
          <w:p w14:paraId="30EF9567" w14:textId="574858E4"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 xml:space="preserve">Create and share strategies to </w:t>
            </w:r>
            <w:r w:rsidR="00D02AB6">
              <w:rPr>
                <w:rFonts w:ascii="Times New Roman" w:hAnsi="Times New Roman" w:cs="Times New Roman"/>
              </w:rPr>
              <w:t xml:space="preserve">disseminate practices and </w:t>
            </w:r>
            <w:r w:rsidRPr="0085459B">
              <w:rPr>
                <w:rFonts w:ascii="Times New Roman" w:hAnsi="Times New Roman" w:cs="Times New Roman"/>
              </w:rPr>
              <w:t xml:space="preserve">overcome barriers </w:t>
            </w:r>
          </w:p>
        </w:tc>
        <w:tc>
          <w:tcPr>
            <w:tcW w:w="2253" w:type="dxa"/>
          </w:tcPr>
          <w:p w14:paraId="724361CA"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15 mins</w:t>
            </w:r>
          </w:p>
        </w:tc>
      </w:tr>
      <w:tr w:rsidR="0001683D" w:rsidRPr="0085459B" w14:paraId="1982EE7B" w14:textId="77777777" w:rsidTr="0091332E">
        <w:tc>
          <w:tcPr>
            <w:tcW w:w="2252" w:type="dxa"/>
          </w:tcPr>
          <w:p w14:paraId="365EF720"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Mini debrief</w:t>
            </w:r>
          </w:p>
        </w:tc>
        <w:tc>
          <w:tcPr>
            <w:tcW w:w="2252" w:type="dxa"/>
          </w:tcPr>
          <w:p w14:paraId="743B57D8" w14:textId="77777777" w:rsidR="0001683D" w:rsidRPr="0085459B" w:rsidRDefault="0001683D" w:rsidP="0091332E">
            <w:pPr>
              <w:spacing w:line="480" w:lineRule="auto"/>
              <w:rPr>
                <w:rFonts w:ascii="Times New Roman" w:hAnsi="Times New Roman" w:cs="Times New Roman"/>
              </w:rPr>
            </w:pPr>
            <w:r>
              <w:rPr>
                <w:rFonts w:ascii="Times New Roman" w:hAnsi="Times New Roman" w:cs="Times New Roman"/>
              </w:rPr>
              <w:t>Facilitator</w:t>
            </w:r>
            <w:r w:rsidRPr="0085459B">
              <w:rPr>
                <w:rFonts w:ascii="Times New Roman" w:hAnsi="Times New Roman" w:cs="Times New Roman"/>
              </w:rPr>
              <w:t xml:space="preserve"> </w:t>
            </w:r>
          </w:p>
        </w:tc>
        <w:tc>
          <w:tcPr>
            <w:tcW w:w="2253" w:type="dxa"/>
          </w:tcPr>
          <w:p w14:paraId="23A5F5C7" w14:textId="77777777" w:rsidR="0001683D" w:rsidRPr="0085459B" w:rsidRDefault="0001683D" w:rsidP="0091332E">
            <w:pPr>
              <w:spacing w:line="480" w:lineRule="auto"/>
              <w:rPr>
                <w:rFonts w:ascii="Times New Roman" w:hAnsi="Times New Roman" w:cs="Times New Roman"/>
              </w:rPr>
            </w:pPr>
          </w:p>
        </w:tc>
        <w:tc>
          <w:tcPr>
            <w:tcW w:w="2253" w:type="dxa"/>
          </w:tcPr>
          <w:p w14:paraId="30D293F5"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5 mins</w:t>
            </w:r>
          </w:p>
        </w:tc>
      </w:tr>
      <w:tr w:rsidR="0001683D" w:rsidRPr="0085459B" w14:paraId="1C7F5CD2" w14:textId="77777777" w:rsidTr="0091332E">
        <w:tc>
          <w:tcPr>
            <w:tcW w:w="2252" w:type="dxa"/>
          </w:tcPr>
          <w:p w14:paraId="0FA91183" w14:textId="77777777" w:rsidR="0001683D" w:rsidRDefault="0001683D" w:rsidP="0091332E">
            <w:pPr>
              <w:spacing w:line="480" w:lineRule="auto"/>
              <w:rPr>
                <w:rFonts w:ascii="Times New Roman" w:hAnsi="Times New Roman" w:cs="Times New Roman"/>
              </w:rPr>
            </w:pPr>
            <w:r w:rsidRPr="0085459B">
              <w:rPr>
                <w:rFonts w:ascii="Times New Roman" w:hAnsi="Times New Roman" w:cs="Times New Roman"/>
              </w:rPr>
              <w:t>Who can you influence and when?</w:t>
            </w:r>
          </w:p>
          <w:p w14:paraId="4F039B4E" w14:textId="5355CBF0" w:rsidR="00D02AB6" w:rsidRPr="0085459B" w:rsidRDefault="00D02AB6" w:rsidP="0091332E">
            <w:pPr>
              <w:spacing w:line="480" w:lineRule="auto"/>
              <w:rPr>
                <w:rFonts w:ascii="Times New Roman" w:hAnsi="Times New Roman" w:cs="Times New Roman"/>
              </w:rPr>
            </w:pPr>
            <w:r>
              <w:rPr>
                <w:rFonts w:ascii="Times New Roman" w:hAnsi="Times New Roman" w:cs="Times New Roman"/>
              </w:rPr>
              <w:t>Discover possibilities for the campus and define your community</w:t>
            </w:r>
          </w:p>
        </w:tc>
        <w:tc>
          <w:tcPr>
            <w:tcW w:w="2252" w:type="dxa"/>
          </w:tcPr>
          <w:p w14:paraId="5869E922" w14:textId="3BC5C15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Break out</w:t>
            </w:r>
            <w:r>
              <w:rPr>
                <w:rFonts w:ascii="Times New Roman" w:hAnsi="Times New Roman" w:cs="Times New Roman"/>
              </w:rPr>
              <w:t xml:space="preserve"> groups</w:t>
            </w:r>
            <w:r w:rsidRPr="0085459B">
              <w:rPr>
                <w:rFonts w:ascii="Times New Roman" w:hAnsi="Times New Roman" w:cs="Times New Roman"/>
              </w:rPr>
              <w:t xml:space="preserve"> </w:t>
            </w:r>
          </w:p>
        </w:tc>
        <w:tc>
          <w:tcPr>
            <w:tcW w:w="2253" w:type="dxa"/>
          </w:tcPr>
          <w:p w14:paraId="7221A978"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Being strategic about who and where</w:t>
            </w:r>
            <w:r>
              <w:rPr>
                <w:rFonts w:ascii="Times New Roman" w:hAnsi="Times New Roman" w:cs="Times New Roman"/>
              </w:rPr>
              <w:t xml:space="preserve"> </w:t>
            </w:r>
            <w:r w:rsidRPr="0085459B">
              <w:rPr>
                <w:rFonts w:ascii="Times New Roman" w:hAnsi="Times New Roman" w:cs="Times New Roman"/>
              </w:rPr>
              <w:t>- creating maps of influence to find sharing opportunities</w:t>
            </w:r>
            <w:r>
              <w:rPr>
                <w:rFonts w:ascii="Times New Roman" w:hAnsi="Times New Roman" w:cs="Times New Roman"/>
              </w:rPr>
              <w:t xml:space="preserve">. How can participants create impact as a </w:t>
            </w:r>
            <w:r>
              <w:rPr>
                <w:rFonts w:ascii="Times New Roman" w:hAnsi="Times New Roman" w:cs="Times New Roman"/>
              </w:rPr>
              <w:lastRenderedPageBreak/>
              <w:t>measure of activity in their context.</w:t>
            </w:r>
          </w:p>
        </w:tc>
        <w:tc>
          <w:tcPr>
            <w:tcW w:w="2253" w:type="dxa"/>
          </w:tcPr>
          <w:p w14:paraId="106F64EC"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lastRenderedPageBreak/>
              <w:t>20 mins</w:t>
            </w:r>
          </w:p>
        </w:tc>
      </w:tr>
      <w:tr w:rsidR="0001683D" w:rsidRPr="0085459B" w14:paraId="21970A8D" w14:textId="77777777" w:rsidTr="0091332E">
        <w:tc>
          <w:tcPr>
            <w:tcW w:w="2252" w:type="dxa"/>
          </w:tcPr>
          <w:p w14:paraId="5D18A8C6"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 xml:space="preserve">Debrief and </w:t>
            </w:r>
            <w:proofErr w:type="gramStart"/>
            <w:r w:rsidRPr="0085459B">
              <w:rPr>
                <w:rFonts w:ascii="Times New Roman" w:hAnsi="Times New Roman" w:cs="Times New Roman"/>
              </w:rPr>
              <w:t>plans for the future</w:t>
            </w:r>
            <w:proofErr w:type="gramEnd"/>
          </w:p>
        </w:tc>
        <w:tc>
          <w:tcPr>
            <w:tcW w:w="2252" w:type="dxa"/>
          </w:tcPr>
          <w:p w14:paraId="160F8E85"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Whole of group</w:t>
            </w:r>
          </w:p>
        </w:tc>
        <w:tc>
          <w:tcPr>
            <w:tcW w:w="2253" w:type="dxa"/>
          </w:tcPr>
          <w:p w14:paraId="6DDB4EF1"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 xml:space="preserve">Lessons learned </w:t>
            </w:r>
          </w:p>
        </w:tc>
        <w:tc>
          <w:tcPr>
            <w:tcW w:w="2253" w:type="dxa"/>
          </w:tcPr>
          <w:p w14:paraId="11707076" w14:textId="77777777" w:rsidR="0001683D" w:rsidRPr="0085459B" w:rsidRDefault="0001683D" w:rsidP="0091332E">
            <w:pPr>
              <w:spacing w:line="480" w:lineRule="auto"/>
              <w:rPr>
                <w:rFonts w:ascii="Times New Roman" w:hAnsi="Times New Roman" w:cs="Times New Roman"/>
              </w:rPr>
            </w:pPr>
            <w:r w:rsidRPr="0085459B">
              <w:rPr>
                <w:rFonts w:ascii="Times New Roman" w:hAnsi="Times New Roman" w:cs="Times New Roman"/>
              </w:rPr>
              <w:t>10 mins</w:t>
            </w:r>
          </w:p>
        </w:tc>
      </w:tr>
    </w:tbl>
    <w:p w14:paraId="3A7C9917" w14:textId="77777777" w:rsidR="0001683D" w:rsidRDefault="0001683D" w:rsidP="0001683D">
      <w:pPr>
        <w:spacing w:line="480" w:lineRule="auto"/>
        <w:ind w:firstLine="720"/>
        <w:rPr>
          <w:rFonts w:ascii="Times New Roman" w:hAnsi="Times New Roman" w:cs="Times New Roman"/>
        </w:rPr>
      </w:pPr>
    </w:p>
    <w:p w14:paraId="5909E756" w14:textId="515DA115" w:rsidR="0001683D" w:rsidRPr="0085459B" w:rsidRDefault="0001683D" w:rsidP="0001683D">
      <w:pPr>
        <w:spacing w:line="480" w:lineRule="auto"/>
        <w:ind w:firstLine="720"/>
        <w:rPr>
          <w:rFonts w:ascii="Times New Roman" w:hAnsi="Times New Roman" w:cs="Times New Roman"/>
        </w:rPr>
      </w:pPr>
      <w:r w:rsidRPr="0085459B">
        <w:rPr>
          <w:rFonts w:ascii="Times New Roman" w:hAnsi="Times New Roman" w:cs="Times New Roman"/>
        </w:rPr>
        <w:t>Take away: At the conclusion of the workshop each participant will have developed a 4Cs individual plan of influence and impact</w:t>
      </w:r>
      <w:r w:rsidR="001921D9">
        <w:rPr>
          <w:rFonts w:ascii="Times New Roman" w:hAnsi="Times New Roman" w:cs="Times New Roman"/>
        </w:rPr>
        <w:t>, understanding previous constraints and barriers with a view to implement their own 4Cs strategy</w:t>
      </w:r>
      <w:r w:rsidRPr="0085459B">
        <w:rPr>
          <w:rFonts w:ascii="Times New Roman" w:hAnsi="Times New Roman" w:cs="Times New Roman"/>
        </w:rPr>
        <w:t>.</w:t>
      </w:r>
      <w:r>
        <w:rPr>
          <w:rFonts w:ascii="Times New Roman" w:hAnsi="Times New Roman" w:cs="Times New Roman"/>
        </w:rPr>
        <w:t xml:space="preserve"> Actions will be focused on the ‘why’ rather than the ‘what’ of action so that participants can see how they can personally effect change in our classrooms, with colleagues (in the corridors and campus), and beyond (as we go to communities). </w:t>
      </w:r>
      <w:r w:rsidRPr="0085459B">
        <w:rPr>
          <w:rFonts w:ascii="Times New Roman" w:hAnsi="Times New Roman" w:cs="Times New Roman"/>
        </w:rPr>
        <w:t xml:space="preserve"> </w:t>
      </w:r>
      <w:r w:rsidR="001921D9">
        <w:rPr>
          <w:rFonts w:ascii="Times New Roman" w:hAnsi="Times New Roman" w:cs="Times New Roman"/>
        </w:rPr>
        <w:t>In doing this, educators will be able to see and measure the impact of their innovations, as well as supporting future development of the innovation as it is adapted in other contexts.</w:t>
      </w:r>
    </w:p>
    <w:p w14:paraId="6BFCC23B" w14:textId="618ACFC8" w:rsidR="00B46759" w:rsidRDefault="00B46759">
      <w:pPr>
        <w:rPr>
          <w:rFonts w:ascii="Times New Roman" w:hAnsi="Times New Roman" w:cs="Times New Roman"/>
        </w:rPr>
      </w:pPr>
      <w:r>
        <w:rPr>
          <w:rFonts w:ascii="Times New Roman" w:hAnsi="Times New Roman" w:cs="Times New Roman"/>
        </w:rPr>
        <w:br w:type="page"/>
      </w:r>
    </w:p>
    <w:p w14:paraId="255218D4" w14:textId="77777777" w:rsidR="0001683D" w:rsidRPr="0085459B" w:rsidRDefault="0001683D" w:rsidP="0001683D">
      <w:pPr>
        <w:spacing w:line="480" w:lineRule="auto"/>
        <w:rPr>
          <w:rFonts w:ascii="Times New Roman" w:hAnsi="Times New Roman" w:cs="Times New Roman"/>
        </w:rPr>
      </w:pPr>
    </w:p>
    <w:p w14:paraId="5AB4322A" w14:textId="77777777" w:rsidR="0001683D" w:rsidRPr="0085459B" w:rsidRDefault="0001683D" w:rsidP="0001683D">
      <w:pPr>
        <w:spacing w:line="480" w:lineRule="auto"/>
        <w:rPr>
          <w:rFonts w:ascii="Times New Roman" w:hAnsi="Times New Roman" w:cs="Times New Roman"/>
          <w:b/>
          <w:bCs/>
        </w:rPr>
      </w:pPr>
      <w:r w:rsidRPr="0085459B">
        <w:rPr>
          <w:rFonts w:ascii="Times New Roman" w:hAnsi="Times New Roman" w:cs="Times New Roman"/>
          <w:b/>
          <w:bCs/>
        </w:rPr>
        <w:t>References</w:t>
      </w:r>
      <w:r>
        <w:rPr>
          <w:rFonts w:ascii="Times New Roman" w:hAnsi="Times New Roman" w:cs="Times New Roman"/>
          <w:b/>
          <w:bCs/>
        </w:rPr>
        <w:t xml:space="preserve"> </w:t>
      </w:r>
    </w:p>
    <w:p w14:paraId="4DF56247" w14:textId="1A7DC7B2" w:rsidR="0001683D" w:rsidRDefault="00D02AB6" w:rsidP="003E6536">
      <w:pPr>
        <w:spacing w:before="120" w:after="120" w:line="480" w:lineRule="auto"/>
        <w:ind w:left="720" w:hanging="720"/>
        <w:rPr>
          <w:rFonts w:ascii="Times New Roman" w:hAnsi="Times New Roman" w:cs="Times New Roman"/>
          <w:color w:val="000000" w:themeColor="text1"/>
        </w:rPr>
      </w:pPr>
      <w:r>
        <w:rPr>
          <w:rFonts w:ascii="Times New Roman" w:hAnsi="Times New Roman" w:cs="Times New Roman"/>
        </w:rPr>
        <w:t>Beckman E.</w:t>
      </w:r>
      <w:r w:rsidR="003E6536">
        <w:rPr>
          <w:rFonts w:ascii="Times New Roman" w:hAnsi="Times New Roman" w:cs="Times New Roman"/>
        </w:rPr>
        <w:t>A.</w:t>
      </w:r>
      <w:r>
        <w:rPr>
          <w:rFonts w:ascii="Times New Roman" w:hAnsi="Times New Roman" w:cs="Times New Roman"/>
        </w:rPr>
        <w:t>,</w:t>
      </w:r>
      <w:r w:rsidR="0001683D" w:rsidRPr="0085459B">
        <w:rPr>
          <w:rFonts w:ascii="Times New Roman" w:hAnsi="Times New Roman" w:cs="Times New Roman"/>
          <w:color w:val="000000" w:themeColor="text1"/>
        </w:rPr>
        <w:t xml:space="preserve"> &amp; </w:t>
      </w:r>
      <w:r>
        <w:rPr>
          <w:rFonts w:ascii="Times New Roman" w:hAnsi="Times New Roman" w:cs="Times New Roman"/>
          <w:color w:val="000000" w:themeColor="text1"/>
        </w:rPr>
        <w:t>Gribble L.,</w:t>
      </w:r>
      <w:r w:rsidR="0001683D" w:rsidRPr="0085459B">
        <w:rPr>
          <w:rFonts w:ascii="Times New Roman" w:hAnsi="Times New Roman" w:cs="Times New Roman"/>
          <w:color w:val="000000" w:themeColor="text1"/>
        </w:rPr>
        <w:t xml:space="preserve"> </w:t>
      </w:r>
      <w:r w:rsidR="000F5B72">
        <w:rPr>
          <w:rFonts w:ascii="Times New Roman" w:hAnsi="Times New Roman" w:cs="Times New Roman"/>
          <w:color w:val="000000" w:themeColor="text1"/>
        </w:rPr>
        <w:t>(</w:t>
      </w:r>
      <w:r w:rsidR="0001683D" w:rsidRPr="0085459B">
        <w:rPr>
          <w:rFonts w:ascii="Times New Roman" w:hAnsi="Times New Roman" w:cs="Times New Roman"/>
          <w:color w:val="000000" w:themeColor="text1"/>
        </w:rPr>
        <w:t>2022</w:t>
      </w:r>
      <w:r w:rsidR="000F5B72">
        <w:rPr>
          <w:rFonts w:ascii="Times New Roman" w:hAnsi="Times New Roman" w:cs="Times New Roman"/>
          <w:color w:val="000000" w:themeColor="text1"/>
        </w:rPr>
        <w:t>)</w:t>
      </w:r>
      <w:r w:rsidR="0001683D" w:rsidRPr="0085459B">
        <w:rPr>
          <w:rFonts w:ascii="Times New Roman" w:hAnsi="Times New Roman" w:cs="Times New Roman"/>
          <w:color w:val="000000" w:themeColor="text1"/>
        </w:rPr>
        <w:t xml:space="preserve"> </w:t>
      </w:r>
      <w:r w:rsidR="003E6536" w:rsidRPr="003E6536">
        <w:rPr>
          <w:rFonts w:ascii="Times New Roman" w:hAnsi="Times New Roman" w:cs="Times New Roman"/>
        </w:rPr>
        <w:t xml:space="preserve">Reshaping Professional Learning Towards Teaching Excellence Through the 4Cs Personalised Strategy for the Dissemination of Practice, </w:t>
      </w:r>
      <w:r w:rsidR="003E6536" w:rsidRPr="003E6536">
        <w:rPr>
          <w:rFonts w:ascii="Times New Roman" w:hAnsi="Times New Roman" w:cs="Times New Roman"/>
          <w:iCs/>
        </w:rPr>
        <w:t xml:space="preserve">International Federation of National Teaching Fellows (IFNTF) </w:t>
      </w:r>
      <w:proofErr w:type="spellStart"/>
      <w:r w:rsidR="003E6536" w:rsidRPr="003E6536">
        <w:rPr>
          <w:rFonts w:ascii="Times New Roman" w:hAnsi="Times New Roman" w:cs="Times New Roman"/>
          <w:iCs/>
        </w:rPr>
        <w:t>Symposathon</w:t>
      </w:r>
      <w:proofErr w:type="spellEnd"/>
      <w:r w:rsidR="003E6536" w:rsidRPr="003E6536">
        <w:rPr>
          <w:rFonts w:ascii="Times New Roman" w:hAnsi="Times New Roman" w:cs="Times New Roman"/>
          <w:color w:val="222222"/>
          <w:lang w:val="en-GB"/>
        </w:rPr>
        <w:t xml:space="preserve"> </w:t>
      </w:r>
      <w:r w:rsidR="003E6536" w:rsidRPr="003E6536">
        <w:rPr>
          <w:rFonts w:ascii="Times New Roman" w:hAnsi="Times New Roman" w:cs="Times New Roman"/>
        </w:rPr>
        <w:t>September 20</w:t>
      </w:r>
    </w:p>
    <w:p w14:paraId="6DE60083" w14:textId="77777777" w:rsidR="0001683D" w:rsidRPr="001027DB" w:rsidRDefault="0001683D" w:rsidP="00B46759">
      <w:pPr>
        <w:pStyle w:val="References"/>
        <w:spacing w:line="480" w:lineRule="auto"/>
        <w:jc w:val="left"/>
        <w:rPr>
          <w:sz w:val="24"/>
          <w:shd w:val="clear" w:color="auto" w:fill="FFFFFF"/>
        </w:rPr>
      </w:pPr>
      <w:r w:rsidRPr="001027DB">
        <w:rPr>
          <w:sz w:val="24"/>
        </w:rPr>
        <w:t xml:space="preserve">Byrne, B., &amp; Richard, G. (2012). Evaluation of innovative teaching approaches: The moderating effect of student prior experience. </w:t>
      </w:r>
      <w:r w:rsidRPr="001027DB">
        <w:rPr>
          <w:i/>
          <w:iCs/>
          <w:sz w:val="24"/>
        </w:rPr>
        <w:t>Creative Education</w:t>
      </w:r>
      <w:r w:rsidRPr="001027DB">
        <w:rPr>
          <w:sz w:val="24"/>
        </w:rPr>
        <w:t xml:space="preserve">, 3(6a), 755-760. </w:t>
      </w:r>
      <w:hyperlink r:id="rId6" w:history="1">
        <w:r w:rsidRPr="001027DB">
          <w:rPr>
            <w:rStyle w:val="Hyperlink"/>
            <w:sz w:val="24"/>
            <w:shd w:val="clear" w:color="auto" w:fill="FFFFFF"/>
          </w:rPr>
          <w:t>https://doi.org/10.4236/ce.2012.326113</w:t>
        </w:r>
      </w:hyperlink>
    </w:p>
    <w:p w14:paraId="2BAE8300" w14:textId="77777777" w:rsidR="0001683D" w:rsidRPr="001027DB" w:rsidRDefault="0001683D" w:rsidP="00B46759">
      <w:pPr>
        <w:pStyle w:val="References"/>
        <w:spacing w:line="480" w:lineRule="auto"/>
        <w:rPr>
          <w:sz w:val="24"/>
        </w:rPr>
      </w:pPr>
      <w:r w:rsidRPr="001027DB">
        <w:rPr>
          <w:sz w:val="24"/>
        </w:rPr>
        <w:t xml:space="preserve">Cialdini, R.B. (2007). </w:t>
      </w:r>
      <w:r w:rsidRPr="001027DB">
        <w:rPr>
          <w:i/>
          <w:iCs/>
          <w:sz w:val="24"/>
        </w:rPr>
        <w:t>Influence: The psychology of persuasion.</w:t>
      </w:r>
      <w:r w:rsidRPr="001027DB">
        <w:rPr>
          <w:sz w:val="24"/>
        </w:rPr>
        <w:t xml:space="preserve"> (Revised ed.). Collins.</w:t>
      </w:r>
    </w:p>
    <w:p w14:paraId="31CD7333" w14:textId="755696C7" w:rsidR="0001683D" w:rsidRDefault="0001683D" w:rsidP="00B46759">
      <w:pPr>
        <w:pStyle w:val="References"/>
        <w:spacing w:line="480" w:lineRule="auto"/>
        <w:rPr>
          <w:rStyle w:val="Hyperlink"/>
          <w:sz w:val="24"/>
          <w:shd w:val="clear" w:color="auto" w:fill="FCFCFC"/>
        </w:rPr>
      </w:pPr>
      <w:r w:rsidRPr="001027DB">
        <w:rPr>
          <w:sz w:val="24"/>
          <w:shd w:val="clear" w:color="auto" w:fill="FCFCFC"/>
        </w:rPr>
        <w:t xml:space="preserve">Darwin, S. (2016). </w:t>
      </w:r>
      <w:r w:rsidRPr="001027DB">
        <w:rPr>
          <w:i/>
          <w:iCs/>
          <w:sz w:val="24"/>
          <w:shd w:val="clear" w:color="auto" w:fill="FCFCFC"/>
        </w:rPr>
        <w:t xml:space="preserve">Student evaluation in higher education: </w:t>
      </w:r>
      <w:r w:rsidRPr="001027DB">
        <w:rPr>
          <w:i/>
          <w:iCs/>
          <w:sz w:val="24"/>
        </w:rPr>
        <w:t>Reconceptualising the student voice</w:t>
      </w:r>
      <w:r w:rsidRPr="001027DB">
        <w:rPr>
          <w:sz w:val="24"/>
        </w:rPr>
        <w:t>.</w:t>
      </w:r>
      <w:r w:rsidRPr="001027DB">
        <w:rPr>
          <w:sz w:val="24"/>
          <w:shd w:val="clear" w:color="auto" w:fill="FCFCFC"/>
        </w:rPr>
        <w:t xml:space="preserve"> Springer. </w:t>
      </w:r>
      <w:hyperlink r:id="rId7" w:history="1">
        <w:r w:rsidRPr="001027DB">
          <w:rPr>
            <w:rStyle w:val="Hyperlink"/>
            <w:sz w:val="24"/>
            <w:shd w:val="clear" w:color="auto" w:fill="FCFCFC"/>
          </w:rPr>
          <w:t>https://doi.org/10.1007/978-3-319-41893-3_3</w:t>
        </w:r>
      </w:hyperlink>
    </w:p>
    <w:p w14:paraId="15E34CAD" w14:textId="1AFF8137" w:rsidR="003E6536" w:rsidRDefault="003E6536" w:rsidP="003E6536">
      <w:pPr>
        <w:spacing w:line="480" w:lineRule="auto"/>
        <w:ind w:left="720" w:hanging="720"/>
        <w:rPr>
          <w:shd w:val="clear" w:color="auto" w:fill="FCFCFC"/>
        </w:rPr>
      </w:pPr>
      <w:r w:rsidRPr="0085459B">
        <w:rPr>
          <w:rFonts w:ascii="Times New Roman" w:hAnsi="Times New Roman" w:cs="Times New Roman"/>
        </w:rPr>
        <w:t xml:space="preserve">Ford, E. (2021). Stories of Open. Opening Peer Review through Narrative Inquiry. Association of College and Research Libraries, A division of the American Library Association Chicago, Illinois 2021 ACRL publications in librarianship NO. 76 </w:t>
      </w:r>
    </w:p>
    <w:p w14:paraId="0FA54DC6" w14:textId="41CABEA2" w:rsidR="0001683D" w:rsidRPr="00B46759" w:rsidRDefault="0001683D" w:rsidP="00B46759">
      <w:pPr>
        <w:pStyle w:val="References"/>
        <w:spacing w:line="480" w:lineRule="auto"/>
        <w:rPr>
          <w:color w:val="0563C1" w:themeColor="hyperlink"/>
          <w:sz w:val="24"/>
          <w:u w:val="single"/>
          <w:shd w:val="clear" w:color="auto" w:fill="FCFCFC"/>
        </w:rPr>
      </w:pPr>
      <w:proofErr w:type="spellStart"/>
      <w:r w:rsidRPr="001027DB">
        <w:rPr>
          <w:sz w:val="24"/>
        </w:rPr>
        <w:t>Genlott</w:t>
      </w:r>
      <w:proofErr w:type="spellEnd"/>
      <w:r w:rsidRPr="001027DB">
        <w:rPr>
          <w:sz w:val="24"/>
        </w:rPr>
        <w:t xml:space="preserve">, A. A., </w:t>
      </w:r>
      <w:proofErr w:type="spellStart"/>
      <w:r w:rsidRPr="001027DB">
        <w:rPr>
          <w:sz w:val="24"/>
        </w:rPr>
        <w:t>Grönlund</w:t>
      </w:r>
      <w:proofErr w:type="spellEnd"/>
      <w:r w:rsidRPr="001027DB">
        <w:rPr>
          <w:sz w:val="24"/>
        </w:rPr>
        <w:t xml:space="preserve">, A., </w:t>
      </w:r>
      <w:proofErr w:type="spellStart"/>
      <w:r w:rsidRPr="001027DB">
        <w:rPr>
          <w:sz w:val="24"/>
        </w:rPr>
        <w:t>Viberg</w:t>
      </w:r>
      <w:proofErr w:type="spellEnd"/>
      <w:r w:rsidRPr="001027DB">
        <w:rPr>
          <w:sz w:val="24"/>
        </w:rPr>
        <w:t xml:space="preserve">, O. &amp; Andersson, A. (2021). Leading dissemination of digital, science-based innovation in school: A case study. </w:t>
      </w:r>
      <w:r w:rsidRPr="001027DB">
        <w:rPr>
          <w:i/>
          <w:iCs/>
          <w:sz w:val="24"/>
        </w:rPr>
        <w:t>Interactive Learning Environments</w:t>
      </w:r>
      <w:r w:rsidRPr="001027DB">
        <w:rPr>
          <w:sz w:val="24"/>
        </w:rPr>
        <w:t xml:space="preserve">. </w:t>
      </w:r>
      <w:hyperlink r:id="rId8" w:history="1">
        <w:r w:rsidRPr="001027DB">
          <w:rPr>
            <w:rStyle w:val="Hyperlink"/>
            <w:sz w:val="24"/>
          </w:rPr>
          <w:t>https://doi.org/10.1080/10494820.2021.1955272</w:t>
        </w:r>
      </w:hyperlink>
      <w:r w:rsidR="00D02AB6" w:rsidRPr="00F81F69">
        <w:rPr>
          <w:color w:val="000000" w:themeColor="text1"/>
          <w:szCs w:val="36"/>
        </w:rPr>
        <w:t>Gribble L., &amp; Beckman E. (202</w:t>
      </w:r>
      <w:r w:rsidR="00897CF2" w:rsidRPr="00F81F69">
        <w:rPr>
          <w:color w:val="000000" w:themeColor="text1"/>
          <w:szCs w:val="36"/>
        </w:rPr>
        <w:t>3</w:t>
      </w:r>
      <w:r w:rsidR="009C470E">
        <w:rPr>
          <w:color w:val="000000" w:themeColor="text1"/>
          <w:sz w:val="24"/>
          <w:szCs w:val="36"/>
        </w:rPr>
        <w:t>, in press</w:t>
      </w:r>
      <w:r w:rsidR="00D02AB6" w:rsidRPr="00F81F69">
        <w:rPr>
          <w:color w:val="000000" w:themeColor="text1"/>
          <w:szCs w:val="36"/>
        </w:rPr>
        <w:t xml:space="preserve">). </w:t>
      </w:r>
      <w:r w:rsidR="009C470E" w:rsidRPr="00F81F69">
        <w:rPr>
          <w:szCs w:val="36"/>
          <w:shd w:val="clear" w:color="auto" w:fill="F1F1F1"/>
        </w:rPr>
        <w:t>The 4 Cs Strategy for disseminating innovations in university teaching: Classroom, Corridors, Campus, Community. </w:t>
      </w:r>
      <w:r w:rsidR="009C470E" w:rsidRPr="00F81F69">
        <w:rPr>
          <w:i/>
          <w:iCs/>
          <w:szCs w:val="36"/>
          <w:bdr w:val="none" w:sz="0" w:space="0" w:color="auto" w:frame="1"/>
          <w:shd w:val="clear" w:color="auto" w:fill="F1F1F1"/>
        </w:rPr>
        <w:t xml:space="preserve">Journal of University Teaching and Learning </w:t>
      </w:r>
      <w:proofErr w:type="spellStart"/>
      <w:r w:rsidR="009C470E" w:rsidRPr="00F81F69">
        <w:rPr>
          <w:i/>
          <w:iCs/>
          <w:szCs w:val="36"/>
          <w:bdr w:val="none" w:sz="0" w:space="0" w:color="auto" w:frame="1"/>
          <w:shd w:val="clear" w:color="auto" w:fill="F1F1F1"/>
        </w:rPr>
        <w:t>Practice.</w:t>
      </w:r>
      <w:r w:rsidRPr="001027DB">
        <w:rPr>
          <w:sz w:val="24"/>
        </w:rPr>
        <w:t>Hinton</w:t>
      </w:r>
      <w:proofErr w:type="spellEnd"/>
      <w:r w:rsidRPr="001027DB">
        <w:rPr>
          <w:sz w:val="24"/>
        </w:rPr>
        <w:t xml:space="preserve">, T. (2016). The impact management planning and evaluation ladder (IMPEL). Australian Government Office for Learning and Teaching. </w:t>
      </w:r>
      <w:hyperlink r:id="rId9" w:history="1">
        <w:r w:rsidRPr="001027DB">
          <w:rPr>
            <w:rStyle w:val="Hyperlink"/>
            <w:sz w:val="24"/>
          </w:rPr>
          <w:t>https://www.dese.gov.au/learning-and-teaching/resources/impact-management-planning-and-evaluation-ladder-impel</w:t>
        </w:r>
      </w:hyperlink>
    </w:p>
    <w:p w14:paraId="4B0D591A" w14:textId="7A6E743A" w:rsidR="003E6536" w:rsidRPr="003E6536" w:rsidRDefault="003E6536" w:rsidP="003E6536">
      <w:pPr>
        <w:autoSpaceDE w:val="0"/>
        <w:autoSpaceDN w:val="0"/>
        <w:adjustRightInd w:val="0"/>
        <w:spacing w:line="480" w:lineRule="auto"/>
        <w:rPr>
          <w:rFonts w:ascii="Times New Roman" w:hAnsi="Times New Roman" w:cs="Times New Roman"/>
          <w:color w:val="222222"/>
          <w:lang w:val="en-GB"/>
        </w:rPr>
      </w:pPr>
      <w:r w:rsidRPr="003E6536">
        <w:rPr>
          <w:rFonts w:ascii="Times New Roman" w:hAnsi="Times New Roman" w:cs="Times New Roman"/>
          <w:iCs/>
        </w:rPr>
        <w:t xml:space="preserve">Gribble L., </w:t>
      </w:r>
      <w:r w:rsidRPr="003E6536">
        <w:rPr>
          <w:rFonts w:ascii="Times New Roman" w:hAnsi="Times New Roman" w:cs="Times New Roman"/>
          <w:iCs/>
        </w:rPr>
        <w:t xml:space="preserve">&amp; </w:t>
      </w:r>
      <w:r w:rsidRPr="003E6536">
        <w:rPr>
          <w:rFonts w:ascii="Times New Roman" w:hAnsi="Times New Roman" w:cs="Times New Roman"/>
          <w:iCs/>
        </w:rPr>
        <w:t xml:space="preserve">Beckman E.A., </w:t>
      </w:r>
      <w:r w:rsidRPr="003E6536">
        <w:rPr>
          <w:rFonts w:ascii="Times New Roman" w:hAnsi="Times New Roman" w:cs="Times New Roman"/>
          <w:iCs/>
        </w:rPr>
        <w:t>(in press)</w:t>
      </w:r>
      <w:r w:rsidRPr="003E6536">
        <w:rPr>
          <w:rFonts w:ascii="Times New Roman" w:hAnsi="Times New Roman" w:cs="Times New Roman"/>
          <w:iCs/>
        </w:rPr>
        <w:t xml:space="preserve"> </w:t>
      </w:r>
      <w:r w:rsidRPr="003E6536">
        <w:rPr>
          <w:rFonts w:ascii="Times New Roman" w:hAnsi="Times New Roman" w:cs="Times New Roman"/>
          <w:color w:val="222222"/>
          <w:lang w:val="en-GB"/>
        </w:rPr>
        <w:t>The 4 Cs Strategy for disseminating</w:t>
      </w:r>
    </w:p>
    <w:p w14:paraId="5A201B40" w14:textId="77777777" w:rsidR="003E6536" w:rsidRPr="003E6536" w:rsidRDefault="003E6536" w:rsidP="003E6536">
      <w:pPr>
        <w:spacing w:after="240" w:line="480" w:lineRule="auto"/>
        <w:ind w:left="720"/>
        <w:rPr>
          <w:rFonts w:ascii="Times New Roman" w:hAnsi="Times New Roman" w:cs="Times New Roman"/>
          <w:color w:val="000000"/>
        </w:rPr>
      </w:pPr>
      <w:r w:rsidRPr="003E6536">
        <w:rPr>
          <w:rFonts w:ascii="Times New Roman" w:hAnsi="Times New Roman" w:cs="Times New Roman"/>
          <w:color w:val="222222"/>
          <w:lang w:val="en-GB"/>
        </w:rPr>
        <w:lastRenderedPageBreak/>
        <w:t xml:space="preserve">innovations in university teaching: Classroom, Corridors, Campus, Community". Journal of University Learning and Teaching Practice </w:t>
      </w:r>
      <w:r w:rsidRPr="003E6536">
        <w:rPr>
          <w:rFonts w:ascii="Times New Roman" w:hAnsi="Times New Roman" w:cs="Times New Roman"/>
        </w:rPr>
        <w:t>19(6)</w:t>
      </w:r>
      <w:r w:rsidRPr="003E6536">
        <w:rPr>
          <w:rFonts w:ascii="Times New Roman" w:hAnsi="Times New Roman" w:cs="Times New Roman"/>
          <w:color w:val="222222"/>
          <w:lang w:val="en-GB"/>
        </w:rPr>
        <w:t xml:space="preserve">. </w:t>
      </w:r>
    </w:p>
    <w:p w14:paraId="53A56764" w14:textId="77777777" w:rsidR="0001683D" w:rsidRPr="0085459B" w:rsidRDefault="0001683D" w:rsidP="00B46759">
      <w:pPr>
        <w:spacing w:before="120" w:after="120" w:line="480" w:lineRule="auto"/>
        <w:ind w:left="720" w:hanging="720"/>
        <w:rPr>
          <w:rFonts w:ascii="Times New Roman" w:hAnsi="Times New Roman" w:cs="Times New Roman"/>
          <w:color w:val="000000" w:themeColor="text1"/>
        </w:rPr>
      </w:pPr>
      <w:r w:rsidRPr="0085459B">
        <w:rPr>
          <w:rFonts w:ascii="Times New Roman" w:hAnsi="Times New Roman" w:cs="Times New Roman"/>
          <w:color w:val="000000" w:themeColor="text1"/>
        </w:rPr>
        <w:t xml:space="preserve">Liu, Q., </w:t>
      </w:r>
      <w:proofErr w:type="spellStart"/>
      <w:r w:rsidRPr="0085459B">
        <w:rPr>
          <w:rFonts w:ascii="Times New Roman" w:hAnsi="Times New Roman" w:cs="Times New Roman"/>
          <w:color w:val="000000" w:themeColor="text1"/>
        </w:rPr>
        <w:t>Geertshuis</w:t>
      </w:r>
      <w:proofErr w:type="spellEnd"/>
      <w:r w:rsidRPr="0085459B">
        <w:rPr>
          <w:rFonts w:ascii="Times New Roman" w:hAnsi="Times New Roman" w:cs="Times New Roman"/>
          <w:color w:val="000000" w:themeColor="text1"/>
        </w:rPr>
        <w:t xml:space="preserve">, S., &amp; Grainger, R. (2020). Understanding academics' adoption of learning technologies: A systematic review. </w:t>
      </w:r>
      <w:r w:rsidRPr="0085459B">
        <w:rPr>
          <w:rFonts w:ascii="Times New Roman" w:hAnsi="Times New Roman" w:cs="Times New Roman"/>
          <w:i/>
          <w:iCs/>
          <w:color w:val="000000" w:themeColor="text1"/>
        </w:rPr>
        <w:t>Computers and Education</w:t>
      </w:r>
      <w:r w:rsidRPr="0085459B">
        <w:rPr>
          <w:rFonts w:ascii="Times New Roman" w:hAnsi="Times New Roman" w:cs="Times New Roman"/>
          <w:color w:val="000000" w:themeColor="text1"/>
        </w:rPr>
        <w:t xml:space="preserve">, 151:103857. </w:t>
      </w:r>
    </w:p>
    <w:p w14:paraId="0B7C4597" w14:textId="77777777" w:rsidR="0001683D" w:rsidRPr="0085459B" w:rsidRDefault="0001683D" w:rsidP="00B46759">
      <w:pPr>
        <w:spacing w:before="120" w:after="120" w:line="480" w:lineRule="auto"/>
        <w:ind w:left="720" w:hanging="720"/>
        <w:rPr>
          <w:rFonts w:ascii="Times New Roman" w:hAnsi="Times New Roman" w:cs="Times New Roman"/>
          <w:color w:val="000000" w:themeColor="text1"/>
        </w:rPr>
      </w:pPr>
      <w:r w:rsidRPr="0085459B">
        <w:rPr>
          <w:rFonts w:ascii="Times New Roman" w:hAnsi="Times New Roman" w:cs="Times New Roman"/>
          <w:color w:val="000000" w:themeColor="text1"/>
        </w:rPr>
        <w:t xml:space="preserve">Long D., </w:t>
      </w:r>
      <w:proofErr w:type="spellStart"/>
      <w:r w:rsidRPr="0085459B">
        <w:rPr>
          <w:rFonts w:ascii="Times New Roman" w:hAnsi="Times New Roman" w:cs="Times New Roman"/>
          <w:color w:val="000000" w:themeColor="text1"/>
        </w:rPr>
        <w:t>Iedema</w:t>
      </w:r>
      <w:proofErr w:type="spellEnd"/>
      <w:r w:rsidRPr="0085459B">
        <w:rPr>
          <w:rFonts w:ascii="Times New Roman" w:hAnsi="Times New Roman" w:cs="Times New Roman"/>
          <w:color w:val="000000" w:themeColor="text1"/>
        </w:rPr>
        <w:t xml:space="preserve"> R., Lee B.B. (2007). Corridor conversations: Clinical communication in casual spaces. </w:t>
      </w:r>
      <w:r w:rsidRPr="0085459B">
        <w:rPr>
          <w:rFonts w:ascii="Times New Roman" w:hAnsi="Times New Roman" w:cs="Times New Roman"/>
          <w:i/>
          <w:iCs/>
          <w:color w:val="000000" w:themeColor="text1"/>
        </w:rPr>
        <w:t xml:space="preserve">In: </w:t>
      </w:r>
      <w:proofErr w:type="spellStart"/>
      <w:r w:rsidRPr="0085459B">
        <w:rPr>
          <w:rFonts w:ascii="Times New Roman" w:hAnsi="Times New Roman" w:cs="Times New Roman"/>
          <w:i/>
          <w:iCs/>
          <w:color w:val="000000" w:themeColor="text1"/>
        </w:rPr>
        <w:t>Iedema</w:t>
      </w:r>
      <w:proofErr w:type="spellEnd"/>
      <w:r w:rsidRPr="0085459B">
        <w:rPr>
          <w:rFonts w:ascii="Times New Roman" w:hAnsi="Times New Roman" w:cs="Times New Roman"/>
          <w:i/>
          <w:iCs/>
          <w:color w:val="000000" w:themeColor="text1"/>
        </w:rPr>
        <w:t xml:space="preserve"> R. (eds) The Discourse of Hospital Communication</w:t>
      </w:r>
      <w:r w:rsidRPr="0085459B">
        <w:rPr>
          <w:rFonts w:ascii="Times New Roman" w:hAnsi="Times New Roman" w:cs="Times New Roman"/>
          <w:color w:val="000000" w:themeColor="text1"/>
        </w:rPr>
        <w:t xml:space="preserve">. London, UK. Palgrave Macmillan. </w:t>
      </w:r>
    </w:p>
    <w:p w14:paraId="398678AA" w14:textId="77777777" w:rsidR="0001683D" w:rsidRPr="0085459B" w:rsidRDefault="0001683D" w:rsidP="00B46759">
      <w:pPr>
        <w:spacing w:before="120" w:after="120" w:line="480" w:lineRule="auto"/>
        <w:ind w:left="720" w:hanging="720"/>
        <w:rPr>
          <w:rFonts w:ascii="Times New Roman" w:hAnsi="Times New Roman" w:cs="Times New Roman"/>
          <w:color w:val="000000" w:themeColor="text1"/>
        </w:rPr>
      </w:pPr>
      <w:r w:rsidRPr="0085459B">
        <w:rPr>
          <w:rFonts w:ascii="Times New Roman" w:hAnsi="Times New Roman" w:cs="Times New Roman"/>
          <w:color w:val="000000" w:themeColor="text1"/>
          <w:shd w:val="clear" w:color="auto" w:fill="FCFCFC"/>
        </w:rPr>
        <w:t xml:space="preserve">Mayer, J.P., Davidson, W.S. (2000). Dissemination of innovation as social change. </w:t>
      </w:r>
      <w:r w:rsidRPr="0085459B">
        <w:rPr>
          <w:rFonts w:ascii="Times New Roman" w:hAnsi="Times New Roman" w:cs="Times New Roman"/>
          <w:i/>
          <w:iCs/>
          <w:color w:val="000000" w:themeColor="text1"/>
          <w:shd w:val="clear" w:color="auto" w:fill="FCFCFC"/>
        </w:rPr>
        <w:t>In: J. Rappaport and E. Seidman (eds). Handbook of Community Psychology.</w:t>
      </w:r>
      <w:r w:rsidRPr="0085459B">
        <w:rPr>
          <w:rFonts w:ascii="Times New Roman" w:hAnsi="Times New Roman" w:cs="Times New Roman"/>
          <w:color w:val="000000" w:themeColor="text1"/>
          <w:shd w:val="clear" w:color="auto" w:fill="FCFCFC"/>
        </w:rPr>
        <w:t xml:space="preserve"> Boston, USA. Springer.</w:t>
      </w:r>
    </w:p>
    <w:p w14:paraId="76CFDE2F" w14:textId="77777777" w:rsidR="0001683D" w:rsidRPr="001027DB" w:rsidRDefault="0001683D" w:rsidP="00B46759">
      <w:pPr>
        <w:pStyle w:val="References"/>
        <w:spacing w:line="480" w:lineRule="auto"/>
        <w:rPr>
          <w:sz w:val="24"/>
        </w:rPr>
      </w:pPr>
      <w:r w:rsidRPr="001027DB">
        <w:rPr>
          <w:sz w:val="24"/>
        </w:rPr>
        <w:t xml:space="preserve">Rogers, </w:t>
      </w:r>
      <w:r w:rsidRPr="001027DB">
        <w:rPr>
          <w:sz w:val="24"/>
          <w:shd w:val="clear" w:color="auto" w:fill="FFFFFF"/>
        </w:rPr>
        <w:t xml:space="preserve">E. M. (2003). </w:t>
      </w:r>
      <w:r w:rsidRPr="001027DB">
        <w:rPr>
          <w:i/>
          <w:iCs/>
          <w:sz w:val="24"/>
          <w:shd w:val="clear" w:color="auto" w:fill="FFFFFF"/>
        </w:rPr>
        <w:t>Diffusion of innovations</w:t>
      </w:r>
      <w:r w:rsidRPr="001027DB">
        <w:rPr>
          <w:sz w:val="24"/>
          <w:shd w:val="clear" w:color="auto" w:fill="FFFFFF"/>
        </w:rPr>
        <w:t>. 5</w:t>
      </w:r>
      <w:r w:rsidRPr="001027DB">
        <w:rPr>
          <w:sz w:val="24"/>
          <w:shd w:val="clear" w:color="auto" w:fill="FFFFFF"/>
          <w:vertAlign w:val="superscript"/>
        </w:rPr>
        <w:t>th</w:t>
      </w:r>
      <w:r w:rsidRPr="001027DB">
        <w:rPr>
          <w:sz w:val="24"/>
          <w:shd w:val="clear" w:color="auto" w:fill="FFFFFF"/>
        </w:rPr>
        <w:t xml:space="preserve"> ed. Simon and Schuster.</w:t>
      </w:r>
    </w:p>
    <w:p w14:paraId="1F8B9568" w14:textId="77777777" w:rsidR="0001683D" w:rsidRPr="0085459B" w:rsidRDefault="0001683D" w:rsidP="00B46759">
      <w:pPr>
        <w:spacing w:before="120" w:after="120" w:line="480" w:lineRule="auto"/>
        <w:ind w:left="720" w:hanging="720"/>
        <w:rPr>
          <w:rFonts w:ascii="Times New Roman" w:hAnsi="Times New Roman" w:cs="Times New Roman"/>
          <w:color w:val="000000" w:themeColor="text1"/>
        </w:rPr>
      </w:pPr>
      <w:r w:rsidRPr="0085459B">
        <w:rPr>
          <w:rFonts w:ascii="Times New Roman" w:hAnsi="Times New Roman" w:cs="Times New Roman"/>
          <w:color w:val="000000" w:themeColor="text1"/>
        </w:rPr>
        <w:t xml:space="preserve">Rogers, Y. (2011). Interaction design gone wild: Striving for wild theory. </w:t>
      </w:r>
      <w:r w:rsidRPr="0085459B">
        <w:rPr>
          <w:rFonts w:ascii="Times New Roman" w:hAnsi="Times New Roman" w:cs="Times New Roman"/>
          <w:i/>
          <w:iCs/>
          <w:color w:val="000000" w:themeColor="text1"/>
        </w:rPr>
        <w:t>Interactions.</w:t>
      </w:r>
      <w:r w:rsidRPr="0085459B">
        <w:rPr>
          <w:rFonts w:ascii="Times New Roman" w:hAnsi="Times New Roman" w:cs="Times New Roman"/>
          <w:color w:val="000000" w:themeColor="text1"/>
        </w:rPr>
        <w:t xml:space="preserve"> </w:t>
      </w:r>
      <w:r w:rsidRPr="0085459B">
        <w:rPr>
          <w:rFonts w:ascii="Times New Roman" w:hAnsi="Times New Roman" w:cs="Times New Roman"/>
          <w:b/>
          <w:bCs/>
          <w:color w:val="000000" w:themeColor="text1"/>
        </w:rPr>
        <w:t>18(4)</w:t>
      </w:r>
      <w:r w:rsidRPr="0085459B">
        <w:rPr>
          <w:rFonts w:ascii="Times New Roman" w:hAnsi="Times New Roman" w:cs="Times New Roman"/>
          <w:color w:val="000000" w:themeColor="text1"/>
        </w:rPr>
        <w:t>: 58-62.</w:t>
      </w:r>
    </w:p>
    <w:p w14:paraId="48EF72A6" w14:textId="77777777" w:rsidR="0001683D" w:rsidRDefault="0001683D" w:rsidP="00B46759">
      <w:pPr>
        <w:spacing w:before="120" w:after="120" w:line="480" w:lineRule="auto"/>
        <w:ind w:left="720" w:hanging="720"/>
        <w:rPr>
          <w:rFonts w:ascii="Times New Roman" w:hAnsi="Times New Roman" w:cs="Times New Roman"/>
          <w:color w:val="3A3A3A"/>
          <w:shd w:val="clear" w:color="auto" w:fill="FFFFFF"/>
        </w:rPr>
      </w:pPr>
      <w:r w:rsidRPr="0085459B">
        <w:rPr>
          <w:rFonts w:ascii="Times New Roman" w:hAnsi="Times New Roman" w:cs="Times New Roman"/>
          <w:color w:val="3A3A3A"/>
          <w:shd w:val="clear" w:color="auto" w:fill="FFFFFF"/>
        </w:rPr>
        <w:t>Senge, P.M., (2006). </w:t>
      </w:r>
      <w:r w:rsidRPr="0085459B">
        <w:rPr>
          <w:rFonts w:ascii="Times New Roman" w:hAnsi="Times New Roman" w:cs="Times New Roman"/>
          <w:i/>
          <w:iCs/>
          <w:color w:val="3A3A3A"/>
          <w:shd w:val="clear" w:color="auto" w:fill="FFFFFF"/>
        </w:rPr>
        <w:t xml:space="preserve">The fifth </w:t>
      </w:r>
      <w:proofErr w:type="gramStart"/>
      <w:r w:rsidRPr="0085459B">
        <w:rPr>
          <w:rFonts w:ascii="Times New Roman" w:hAnsi="Times New Roman" w:cs="Times New Roman"/>
          <w:i/>
          <w:iCs/>
          <w:color w:val="3A3A3A"/>
          <w:shd w:val="clear" w:color="auto" w:fill="FFFFFF"/>
        </w:rPr>
        <w:t>discipline :</w:t>
      </w:r>
      <w:proofErr w:type="gramEnd"/>
      <w:r w:rsidRPr="0085459B">
        <w:rPr>
          <w:rFonts w:ascii="Times New Roman" w:hAnsi="Times New Roman" w:cs="Times New Roman"/>
          <w:i/>
          <w:iCs/>
          <w:color w:val="3A3A3A"/>
          <w:shd w:val="clear" w:color="auto" w:fill="FFFFFF"/>
        </w:rPr>
        <w:t xml:space="preserve"> the art and practice of the learning organization</w:t>
      </w:r>
      <w:r w:rsidRPr="0085459B">
        <w:rPr>
          <w:rFonts w:ascii="Times New Roman" w:hAnsi="Times New Roman" w:cs="Times New Roman"/>
          <w:color w:val="3A3A3A"/>
          <w:shd w:val="clear" w:color="auto" w:fill="FFFFFF"/>
        </w:rPr>
        <w:t> Revised edition., Currency Doubleday, New York, N.Y. ; London.</w:t>
      </w:r>
    </w:p>
    <w:p w14:paraId="250E292A" w14:textId="77777777" w:rsidR="0001683D" w:rsidRPr="001027DB" w:rsidRDefault="0001683D" w:rsidP="00B46759">
      <w:pPr>
        <w:pStyle w:val="References"/>
        <w:spacing w:line="480" w:lineRule="auto"/>
        <w:jc w:val="left"/>
        <w:rPr>
          <w:rStyle w:val="Hyperlink"/>
          <w:sz w:val="24"/>
          <w:shd w:val="clear" w:color="auto" w:fill="FFFFFF"/>
        </w:rPr>
      </w:pPr>
      <w:proofErr w:type="spellStart"/>
      <w:r w:rsidRPr="001027DB">
        <w:rPr>
          <w:sz w:val="24"/>
          <w:shd w:val="clear" w:color="auto" w:fill="FFFFFF"/>
        </w:rPr>
        <w:t>Southwell</w:t>
      </w:r>
      <w:proofErr w:type="spellEnd"/>
      <w:r w:rsidRPr="001027DB">
        <w:rPr>
          <w:sz w:val="24"/>
          <w:shd w:val="clear" w:color="auto" w:fill="FFFFFF"/>
        </w:rPr>
        <w:t xml:space="preserve">, D., </w:t>
      </w:r>
      <w:proofErr w:type="spellStart"/>
      <w:r w:rsidRPr="001027DB">
        <w:rPr>
          <w:sz w:val="24"/>
          <w:shd w:val="clear" w:color="auto" w:fill="FFFFFF"/>
        </w:rPr>
        <w:t>Gannaway</w:t>
      </w:r>
      <w:proofErr w:type="spellEnd"/>
      <w:r w:rsidRPr="001027DB">
        <w:rPr>
          <w:sz w:val="24"/>
          <w:shd w:val="clear" w:color="auto" w:fill="FFFFFF"/>
        </w:rPr>
        <w:t xml:space="preserve">, D., </w:t>
      </w:r>
      <w:proofErr w:type="spellStart"/>
      <w:r w:rsidRPr="001027DB">
        <w:rPr>
          <w:sz w:val="24"/>
          <w:shd w:val="clear" w:color="auto" w:fill="FFFFFF"/>
        </w:rPr>
        <w:t>Orrell</w:t>
      </w:r>
      <w:proofErr w:type="spellEnd"/>
      <w:r w:rsidRPr="001027DB">
        <w:rPr>
          <w:sz w:val="24"/>
          <w:shd w:val="clear" w:color="auto" w:fill="FFFFFF"/>
        </w:rPr>
        <w:t>, J., Chalmers, D., &amp; Abraham, C. (2005). Strategies for</w:t>
      </w:r>
      <w:r>
        <w:rPr>
          <w:sz w:val="24"/>
          <w:shd w:val="clear" w:color="auto" w:fill="FFFFFF"/>
        </w:rPr>
        <w:t xml:space="preserve"> </w:t>
      </w:r>
      <w:r w:rsidRPr="001027DB">
        <w:rPr>
          <w:sz w:val="24"/>
          <w:shd w:val="clear" w:color="auto" w:fill="FFFFFF"/>
        </w:rPr>
        <w:t xml:space="preserve">effective dissemination of project outcomes. Carrick Institute for Learning and Teaching in Higher Education. </w:t>
      </w:r>
      <w:hyperlink r:id="rId10" w:history="1">
        <w:r w:rsidRPr="001027DB">
          <w:rPr>
            <w:rStyle w:val="Hyperlink"/>
            <w:sz w:val="24"/>
            <w:shd w:val="clear" w:color="auto" w:fill="FFFFFF"/>
          </w:rPr>
          <w:t>https://ltr.edu.au/resources/dissemination_uqandflinders_strategieseffectivedissemination_2005.pdf</w:t>
        </w:r>
      </w:hyperlink>
    </w:p>
    <w:p w14:paraId="4BC64C88" w14:textId="1EF8C174" w:rsidR="008B1F67" w:rsidRDefault="00000000" w:rsidP="003E6536">
      <w:pPr>
        <w:spacing w:before="120" w:after="120" w:line="480" w:lineRule="auto"/>
        <w:ind w:left="720" w:hanging="720"/>
      </w:pPr>
      <w:hyperlink r:id="rId11" w:tooltip="Justin J. Waring" w:history="1">
        <w:r w:rsidR="0001683D" w:rsidRPr="0085459B">
          <w:rPr>
            <w:rFonts w:ascii="Times New Roman" w:hAnsi="Times New Roman" w:cs="Times New Roman"/>
            <w:color w:val="000000" w:themeColor="text1"/>
          </w:rPr>
          <w:t>Waring, J.J.</w:t>
        </w:r>
      </w:hyperlink>
      <w:r w:rsidR="0001683D" w:rsidRPr="0085459B">
        <w:rPr>
          <w:rFonts w:ascii="Times New Roman" w:hAnsi="Times New Roman" w:cs="Times New Roman"/>
          <w:color w:val="000000" w:themeColor="text1"/>
        </w:rPr>
        <w:t xml:space="preserve"> and </w:t>
      </w:r>
      <w:hyperlink r:id="rId12" w:tooltip="Simon Bishop" w:history="1">
        <w:r w:rsidR="0001683D" w:rsidRPr="0085459B">
          <w:rPr>
            <w:rFonts w:ascii="Times New Roman" w:hAnsi="Times New Roman" w:cs="Times New Roman"/>
            <w:color w:val="000000" w:themeColor="text1"/>
          </w:rPr>
          <w:t>Bishop, S.</w:t>
        </w:r>
      </w:hyperlink>
      <w:r w:rsidR="0001683D" w:rsidRPr="0085459B">
        <w:rPr>
          <w:rFonts w:ascii="Times New Roman" w:hAnsi="Times New Roman" w:cs="Times New Roman"/>
          <w:color w:val="000000" w:themeColor="text1"/>
        </w:rPr>
        <w:t xml:space="preserve"> (2010). “Water cooler” learning: Knowledge sharing at the clinical “backstage” and its contribution to patient safety, </w:t>
      </w:r>
      <w:hyperlink r:id="rId13" w:history="1">
        <w:r w:rsidR="0001683D" w:rsidRPr="0085459B">
          <w:rPr>
            <w:rFonts w:ascii="Times New Roman" w:hAnsi="Times New Roman" w:cs="Times New Roman"/>
            <w:i/>
            <w:iCs/>
            <w:color w:val="000000" w:themeColor="text1"/>
          </w:rPr>
          <w:t>Journal of Health Organization and Management</w:t>
        </w:r>
      </w:hyperlink>
      <w:r w:rsidR="0001683D" w:rsidRPr="0085459B">
        <w:rPr>
          <w:rFonts w:ascii="Times New Roman" w:hAnsi="Times New Roman" w:cs="Times New Roman"/>
          <w:color w:val="000000" w:themeColor="text1"/>
        </w:rPr>
        <w:t xml:space="preserve">. </w:t>
      </w:r>
      <w:r w:rsidR="0001683D" w:rsidRPr="0085459B">
        <w:rPr>
          <w:rFonts w:ascii="Times New Roman" w:hAnsi="Times New Roman" w:cs="Times New Roman"/>
          <w:b/>
          <w:bCs/>
          <w:color w:val="000000" w:themeColor="text1"/>
        </w:rPr>
        <w:t>24(4)</w:t>
      </w:r>
      <w:r w:rsidR="0001683D" w:rsidRPr="0085459B">
        <w:rPr>
          <w:rFonts w:ascii="Times New Roman" w:hAnsi="Times New Roman" w:cs="Times New Roman"/>
          <w:color w:val="000000" w:themeColor="text1"/>
        </w:rPr>
        <w:t xml:space="preserve">: 325-342. </w:t>
      </w:r>
    </w:p>
    <w:sectPr w:rsidR="008B1F67" w:rsidSect="00B16B5A">
      <w:headerReference w:type="even" r:id="rId14"/>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0282" w14:textId="77777777" w:rsidR="00CF208D" w:rsidRDefault="00CF208D">
      <w:r>
        <w:separator/>
      </w:r>
    </w:p>
  </w:endnote>
  <w:endnote w:type="continuationSeparator" w:id="0">
    <w:p w14:paraId="74B2514E" w14:textId="77777777" w:rsidR="00CF208D" w:rsidRDefault="00CF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New Roman (Body CS)">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7C27" w14:textId="77777777" w:rsidR="00CF208D" w:rsidRDefault="00CF208D">
      <w:r>
        <w:separator/>
      </w:r>
    </w:p>
  </w:footnote>
  <w:footnote w:type="continuationSeparator" w:id="0">
    <w:p w14:paraId="58F6E53B" w14:textId="77777777" w:rsidR="00CF208D" w:rsidRDefault="00CF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1269655"/>
      <w:docPartObj>
        <w:docPartGallery w:val="Page Numbers (Top of Page)"/>
        <w:docPartUnique/>
      </w:docPartObj>
    </w:sdtPr>
    <w:sdtContent>
      <w:p w14:paraId="5CA311B3" w14:textId="77777777" w:rsidR="00B33B32" w:rsidRDefault="00DD316C" w:rsidP="00A97E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EAF9EF" w14:textId="77777777" w:rsidR="00B33B32" w:rsidRDefault="00000000" w:rsidP="00B33B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2665743"/>
      <w:docPartObj>
        <w:docPartGallery w:val="Page Numbers (Top of Page)"/>
        <w:docPartUnique/>
      </w:docPartObj>
    </w:sdtPr>
    <w:sdtContent>
      <w:p w14:paraId="576D8B88" w14:textId="77777777" w:rsidR="00B33B32" w:rsidRDefault="00DD316C" w:rsidP="00A97E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8EC377" w14:textId="77777777" w:rsidR="00B33B32" w:rsidRPr="00B33B32" w:rsidRDefault="00DD316C" w:rsidP="00B33B32">
    <w:pPr>
      <w:pStyle w:val="Header"/>
      <w:ind w:right="360"/>
      <w:rPr>
        <w:rFonts w:ascii="Times New Roman" w:hAnsi="Times New Roman" w:cs="Times New Roman (Body CS)"/>
      </w:rPr>
    </w:pPr>
    <w:r>
      <w:rPr>
        <w:rFonts w:ascii="Times New Roman" w:hAnsi="Times New Roman" w:cs="Times New Roman (Body CS)"/>
      </w:rPr>
      <w:tab/>
    </w:r>
    <w:r>
      <w:rPr>
        <w:rFonts w:ascii="Times New Roman" w:hAnsi="Times New Roman" w:cs="Times New Roman (Body CS)"/>
      </w:rPr>
      <w:tab/>
    </w:r>
    <w:r w:rsidRPr="00B33B32">
      <w:rPr>
        <w:rFonts w:ascii="Times New Roman" w:hAnsi="Times New Roman" w:cs="Times New Roman (Body CS)"/>
      </w:rPr>
      <w:t>Strategic dissemination for influence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3D"/>
    <w:rsid w:val="000048EC"/>
    <w:rsid w:val="00013579"/>
    <w:rsid w:val="0001683D"/>
    <w:rsid w:val="000F5B72"/>
    <w:rsid w:val="00115F37"/>
    <w:rsid w:val="001921D9"/>
    <w:rsid w:val="00210E68"/>
    <w:rsid w:val="0022052E"/>
    <w:rsid w:val="0031746E"/>
    <w:rsid w:val="003E6536"/>
    <w:rsid w:val="00530A48"/>
    <w:rsid w:val="006414B1"/>
    <w:rsid w:val="0064538B"/>
    <w:rsid w:val="00897CF2"/>
    <w:rsid w:val="008B1F67"/>
    <w:rsid w:val="008F7371"/>
    <w:rsid w:val="009C470E"/>
    <w:rsid w:val="009D0FE1"/>
    <w:rsid w:val="00A924F2"/>
    <w:rsid w:val="00B46759"/>
    <w:rsid w:val="00C569D1"/>
    <w:rsid w:val="00CF208D"/>
    <w:rsid w:val="00D02AB6"/>
    <w:rsid w:val="00D601C7"/>
    <w:rsid w:val="00DD316C"/>
    <w:rsid w:val="00F81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085769"/>
  <w15:chartTrackingRefBased/>
  <w15:docId w15:val="{6346580C-5433-FF40-B9D0-D75A0FB8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83D"/>
    <w:pPr>
      <w:tabs>
        <w:tab w:val="center" w:pos="4513"/>
        <w:tab w:val="right" w:pos="9026"/>
      </w:tabs>
    </w:pPr>
  </w:style>
  <w:style w:type="character" w:customStyle="1" w:styleId="HeaderChar">
    <w:name w:val="Header Char"/>
    <w:basedOn w:val="DefaultParagraphFont"/>
    <w:link w:val="Header"/>
    <w:uiPriority w:val="99"/>
    <w:rsid w:val="0001683D"/>
  </w:style>
  <w:style w:type="character" w:styleId="PageNumber">
    <w:name w:val="page number"/>
    <w:basedOn w:val="DefaultParagraphFont"/>
    <w:uiPriority w:val="99"/>
    <w:semiHidden/>
    <w:unhideWhenUsed/>
    <w:rsid w:val="0001683D"/>
  </w:style>
  <w:style w:type="paragraph" w:customStyle="1" w:styleId="References">
    <w:name w:val="References"/>
    <w:basedOn w:val="Normal"/>
    <w:qFormat/>
    <w:rsid w:val="0001683D"/>
    <w:pPr>
      <w:ind w:left="720" w:hanging="720"/>
      <w:contextualSpacing/>
      <w:jc w:val="both"/>
    </w:pPr>
    <w:rPr>
      <w:rFonts w:ascii="Times New Roman" w:eastAsia="Times New Roman" w:hAnsi="Times New Roman" w:cs="Times New Roman"/>
      <w:sz w:val="20"/>
      <w:lang w:eastAsia="en-GB"/>
    </w:rPr>
  </w:style>
  <w:style w:type="character" w:styleId="Hyperlink">
    <w:name w:val="Hyperlink"/>
    <w:basedOn w:val="DefaultParagraphFont"/>
    <w:uiPriority w:val="99"/>
    <w:unhideWhenUsed/>
    <w:rsid w:val="0001683D"/>
    <w:rPr>
      <w:color w:val="0563C1" w:themeColor="hyperlink"/>
      <w:u w:val="single"/>
    </w:rPr>
  </w:style>
  <w:style w:type="character" w:styleId="Emphasis">
    <w:name w:val="Emphasis"/>
    <w:basedOn w:val="DefaultParagraphFont"/>
    <w:uiPriority w:val="20"/>
    <w:qFormat/>
    <w:rsid w:val="009C470E"/>
    <w:rPr>
      <w:i/>
      <w:iCs/>
    </w:rPr>
  </w:style>
  <w:style w:type="paragraph" w:styleId="Revision">
    <w:name w:val="Revision"/>
    <w:hidden/>
    <w:uiPriority w:val="99"/>
    <w:semiHidden/>
    <w:rsid w:val="00F8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494820.2021.1955272" TargetMode="External"/><Relationship Id="rId13" Type="http://schemas.openxmlformats.org/officeDocument/2006/relationships/hyperlink" Target="https://www.emerald.com/insight/publication/issn/1477-7266" TargetMode="External"/><Relationship Id="rId3" Type="http://schemas.openxmlformats.org/officeDocument/2006/relationships/webSettings" Target="webSettings.xml"/><Relationship Id="rId7" Type="http://schemas.openxmlformats.org/officeDocument/2006/relationships/hyperlink" Target="https://doi.org/10.1007/978-3-319-41893-3_3" TargetMode="External"/><Relationship Id="rId12" Type="http://schemas.openxmlformats.org/officeDocument/2006/relationships/hyperlink" Target="https://www.emerald.com/insight/search?q=Simon%20Bisho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4236/ce.2012.326113" TargetMode="External"/><Relationship Id="rId11" Type="http://schemas.openxmlformats.org/officeDocument/2006/relationships/hyperlink" Target="https://www.emerald.com/insight/search?q=Justin%20J.%20Warin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ltr.edu.au/resources/dissemination_uqandflinders_strategieseffectivedissemination_2005.pdf" TargetMode="External"/><Relationship Id="rId4" Type="http://schemas.openxmlformats.org/officeDocument/2006/relationships/footnotes" Target="footnotes.xml"/><Relationship Id="rId9" Type="http://schemas.openxmlformats.org/officeDocument/2006/relationships/hyperlink" Target="https://www.dese.gov.au/learning-and-teaching/resources/impact-management-planning-and-evaluation-ladder-impe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Gribble</dc:creator>
  <cp:keywords/>
  <dc:description/>
  <cp:lastModifiedBy>Lynn Gribble</cp:lastModifiedBy>
  <cp:revision>3</cp:revision>
  <cp:lastPrinted>2022-09-29T05:24:00Z</cp:lastPrinted>
  <dcterms:created xsi:type="dcterms:W3CDTF">2023-01-09T01:03:00Z</dcterms:created>
  <dcterms:modified xsi:type="dcterms:W3CDTF">2023-01-09T01:14:00Z</dcterms:modified>
</cp:coreProperties>
</file>